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FE0" w:rsidRDefault="005439D1">
      <w:pPr>
        <w:pStyle w:val="Standard"/>
        <w:spacing w:line="500" w:lineRule="exact"/>
        <w:jc w:val="center"/>
        <w:rPr>
          <w:rFonts w:ascii="標楷體" w:eastAsia="標楷體" w:hAnsi="標楷體"/>
          <w:sz w:val="28"/>
          <w:szCs w:val="28"/>
        </w:rPr>
      </w:pPr>
      <w:r>
        <w:rPr>
          <w:rFonts w:ascii="標楷體" w:eastAsia="標楷體" w:hAnsi="標楷體" w:cs="Times New Roman"/>
          <w:b/>
          <w:sz w:val="28"/>
          <w:szCs w:val="28"/>
          <w:lang w:eastAsia="zh-HK"/>
        </w:rPr>
        <w:t>大專校院高等教育深耕計畫</w:t>
      </w:r>
      <w:r>
        <w:rPr>
          <w:rFonts w:ascii="標楷體" w:eastAsia="標楷體" w:hAnsi="標楷體" w:cs="Times New Roman"/>
          <w:b/>
          <w:sz w:val="28"/>
          <w:szCs w:val="28"/>
        </w:rPr>
        <w:t>經費使用原則修正規定</w:t>
      </w:r>
    </w:p>
    <w:p w:rsidR="00BC6FE0" w:rsidRDefault="005439D1">
      <w:pPr>
        <w:pStyle w:val="a5"/>
        <w:widowControl/>
        <w:numPr>
          <w:ilvl w:val="0"/>
          <w:numId w:val="31"/>
        </w:numPr>
        <w:tabs>
          <w:tab w:val="left" w:pos="1191"/>
        </w:tabs>
        <w:spacing w:line="440" w:lineRule="exact"/>
        <w:ind w:left="624" w:hanging="624"/>
        <w:rPr>
          <w:rFonts w:ascii="標楷體" w:eastAsia="標楷體" w:hAnsi="標楷體"/>
          <w:sz w:val="28"/>
          <w:szCs w:val="28"/>
        </w:rPr>
      </w:pPr>
      <w:r>
        <w:rPr>
          <w:rFonts w:ascii="標楷體" w:eastAsia="標楷體" w:hAnsi="標楷體"/>
          <w:kern w:val="0"/>
          <w:sz w:val="28"/>
          <w:szCs w:val="28"/>
        </w:rPr>
        <w:t>目的：為推動高等教育深耕計畫（以下簡稱本計畫，包括</w:t>
      </w:r>
      <w:r>
        <w:rPr>
          <w:rFonts w:ascii="標楷體" w:eastAsia="標楷體" w:hAnsi="標楷體"/>
          <w:kern w:val="0"/>
          <w:sz w:val="28"/>
          <w:szCs w:val="28"/>
          <w:lang w:eastAsia="zh-HK"/>
        </w:rPr>
        <w:t>第一部分：</w:t>
      </w:r>
      <w:r>
        <w:rPr>
          <w:rFonts w:ascii="標楷體" w:eastAsia="標楷體" w:hAnsi="標楷體"/>
          <w:kern w:val="0"/>
          <w:sz w:val="28"/>
          <w:szCs w:val="28"/>
        </w:rPr>
        <w:t>全面性提升大專校院品質及促進高教多元發展（以下簡稱</w:t>
      </w:r>
      <w:r>
        <w:rPr>
          <w:rFonts w:ascii="標楷體" w:eastAsia="標楷體" w:hAnsi="標楷體"/>
          <w:kern w:val="0"/>
          <w:sz w:val="28"/>
          <w:szCs w:val="28"/>
          <w:lang w:eastAsia="zh-HK"/>
        </w:rPr>
        <w:t>第一部分</w:t>
      </w:r>
      <w:r>
        <w:rPr>
          <w:rFonts w:ascii="標楷體" w:eastAsia="標楷體" w:hAnsi="標楷體"/>
          <w:kern w:val="0"/>
          <w:sz w:val="28"/>
          <w:szCs w:val="28"/>
        </w:rPr>
        <w:t>）及</w:t>
      </w:r>
      <w:r>
        <w:rPr>
          <w:rFonts w:ascii="標楷體" w:eastAsia="標楷體" w:hAnsi="標楷體"/>
          <w:kern w:val="0"/>
          <w:sz w:val="28"/>
          <w:szCs w:val="28"/>
          <w:lang w:eastAsia="zh-HK"/>
        </w:rPr>
        <w:t>第二部分：</w:t>
      </w:r>
      <w:r>
        <w:rPr>
          <w:rFonts w:ascii="標楷體" w:eastAsia="標楷體" w:hAnsi="標楷體"/>
          <w:kern w:val="0"/>
          <w:sz w:val="28"/>
          <w:szCs w:val="28"/>
        </w:rPr>
        <w:t>協助大學追求國際一流地位及發展研究中心（以下簡稱</w:t>
      </w:r>
      <w:r>
        <w:rPr>
          <w:rFonts w:ascii="標楷體" w:eastAsia="標楷體" w:hAnsi="標楷體"/>
          <w:kern w:val="0"/>
          <w:sz w:val="28"/>
          <w:szCs w:val="28"/>
          <w:lang w:eastAsia="zh-HK"/>
        </w:rPr>
        <w:t>第二部分</w:t>
      </w:r>
      <w:r>
        <w:rPr>
          <w:rFonts w:ascii="標楷體" w:eastAsia="標楷體" w:hAnsi="標楷體"/>
          <w:kern w:val="0"/>
          <w:sz w:val="28"/>
          <w:szCs w:val="28"/>
        </w:rPr>
        <w:t>）兩大主軸），以改善教學品質並提升學習成效，協助學校學術研究發展、強化國際人才及創新產業人才培育，鼓勵各大專校院(以下簡稱學校)在此基礎上發展多元能量，特訂定本原則。</w:t>
      </w:r>
    </w:p>
    <w:p w:rsidR="00BC6FE0" w:rsidRDefault="005439D1">
      <w:pPr>
        <w:pStyle w:val="a5"/>
        <w:widowControl/>
        <w:numPr>
          <w:ilvl w:val="0"/>
          <w:numId w:val="2"/>
        </w:numPr>
        <w:tabs>
          <w:tab w:val="left" w:pos="1189"/>
        </w:tabs>
        <w:spacing w:line="440" w:lineRule="exact"/>
        <w:ind w:left="622" w:hanging="622"/>
        <w:rPr>
          <w:rFonts w:ascii="標楷體" w:eastAsia="標楷體" w:hAnsi="標楷體" w:cs="Times New Roman"/>
          <w:kern w:val="0"/>
          <w:sz w:val="28"/>
          <w:szCs w:val="28"/>
        </w:rPr>
      </w:pPr>
      <w:r>
        <w:rPr>
          <w:rFonts w:ascii="標楷體" w:eastAsia="標楷體" w:hAnsi="標楷體" w:cs="Times New Roman"/>
          <w:kern w:val="0"/>
          <w:sz w:val="28"/>
          <w:szCs w:val="28"/>
        </w:rPr>
        <w:t>計畫經費編列及分配原則：</w:t>
      </w:r>
    </w:p>
    <w:p w:rsidR="00BC6FE0" w:rsidRDefault="005439D1">
      <w:pPr>
        <w:pStyle w:val="Standard"/>
        <w:numPr>
          <w:ilvl w:val="0"/>
          <w:numId w:val="32"/>
        </w:numPr>
        <w:snapToGrid w:val="0"/>
        <w:spacing w:line="440" w:lineRule="exact"/>
        <w:ind w:left="680" w:hanging="567"/>
        <w:rPr>
          <w:rFonts w:ascii="標楷體" w:eastAsia="標楷體" w:hAnsi="標楷體"/>
          <w:kern w:val="0"/>
          <w:sz w:val="28"/>
          <w:szCs w:val="28"/>
        </w:rPr>
      </w:pPr>
      <w:r>
        <w:rPr>
          <w:rFonts w:ascii="標楷體" w:eastAsia="標楷體" w:hAnsi="標楷體"/>
          <w:kern w:val="0"/>
          <w:sz w:val="28"/>
          <w:szCs w:val="28"/>
        </w:rPr>
        <w:t>學校應提出以全校性整體教學、研究及重點領域提升改善計畫及經費額度，並訂定校內經費使用原則、相關收支辦法及程序。</w:t>
      </w:r>
    </w:p>
    <w:p w:rsidR="00BC6FE0" w:rsidRDefault="005439D1">
      <w:pPr>
        <w:pStyle w:val="Standard"/>
        <w:numPr>
          <w:ilvl w:val="0"/>
          <w:numId w:val="13"/>
        </w:numPr>
        <w:snapToGrid w:val="0"/>
        <w:spacing w:line="440" w:lineRule="exact"/>
        <w:ind w:left="680" w:hanging="567"/>
        <w:rPr>
          <w:rFonts w:ascii="標楷體" w:eastAsia="標楷體" w:hAnsi="標楷體"/>
          <w:sz w:val="28"/>
          <w:szCs w:val="28"/>
        </w:rPr>
      </w:pPr>
      <w:r>
        <w:rPr>
          <w:rFonts w:ascii="標楷體" w:eastAsia="標楷體" w:hAnsi="標楷體"/>
          <w:kern w:val="0"/>
          <w:sz w:val="28"/>
          <w:szCs w:val="28"/>
        </w:rPr>
        <w:t>本計畫經費採統塊式經費(</w:t>
      </w:r>
      <w:r>
        <w:rPr>
          <w:rFonts w:ascii="標楷體" w:eastAsia="標楷體" w:hAnsi="標楷體" w:cs="Times New Roman"/>
          <w:kern w:val="0"/>
          <w:sz w:val="28"/>
          <w:szCs w:val="28"/>
        </w:rPr>
        <w:t>Block Funding</w:t>
      </w:r>
      <w:r>
        <w:rPr>
          <w:rFonts w:ascii="標楷體" w:eastAsia="標楷體" w:hAnsi="標楷體"/>
          <w:kern w:val="0"/>
          <w:sz w:val="28"/>
          <w:szCs w:val="28"/>
        </w:rPr>
        <w:t>)方式，支用項目之比率由學校依其特色及需求規劃；獲第一部分(主冊、整體發展計畫)經費補助之學校應將獲補助經費百分之五十以上之比率投注於落實教學創新策略與學生學習或教師教學直接相關之項目。</w:t>
      </w:r>
    </w:p>
    <w:p w:rsidR="00BC6FE0" w:rsidRDefault="005439D1">
      <w:pPr>
        <w:pStyle w:val="Standard"/>
        <w:numPr>
          <w:ilvl w:val="0"/>
          <w:numId w:val="13"/>
        </w:numPr>
        <w:snapToGrid w:val="0"/>
        <w:spacing w:line="440" w:lineRule="exact"/>
        <w:ind w:left="680" w:hanging="567"/>
        <w:rPr>
          <w:rFonts w:ascii="標楷體" w:eastAsia="標楷體" w:hAnsi="標楷體"/>
          <w:kern w:val="0"/>
          <w:sz w:val="28"/>
          <w:szCs w:val="28"/>
        </w:rPr>
      </w:pPr>
      <w:r>
        <w:rPr>
          <w:rFonts w:ascii="標楷體" w:eastAsia="標楷體" w:hAnsi="標楷體"/>
          <w:kern w:val="0"/>
          <w:sz w:val="28"/>
          <w:szCs w:val="28"/>
        </w:rPr>
        <w:t>資本門以占百分之二十至三十、經常門占百分之七十至八十為原則之比率編列，並得視計畫審議結果彈性調整。</w:t>
      </w:r>
    </w:p>
    <w:p w:rsidR="00BC6FE0" w:rsidRDefault="005439D1">
      <w:pPr>
        <w:pStyle w:val="Standard"/>
        <w:numPr>
          <w:ilvl w:val="0"/>
          <w:numId w:val="13"/>
        </w:numPr>
        <w:snapToGrid w:val="0"/>
        <w:spacing w:line="440" w:lineRule="exact"/>
        <w:ind w:left="680" w:hanging="567"/>
        <w:rPr>
          <w:rFonts w:ascii="標楷體" w:eastAsia="標楷體" w:hAnsi="標楷體"/>
          <w:sz w:val="28"/>
          <w:szCs w:val="28"/>
        </w:rPr>
      </w:pPr>
      <w:r>
        <w:rPr>
          <w:rFonts w:ascii="標楷體" w:eastAsia="標楷體" w:hAnsi="標楷體"/>
          <w:kern w:val="0"/>
          <w:sz w:val="28"/>
          <w:szCs w:val="28"/>
        </w:rPr>
        <w:t>第一部分「提升高教公共性</w:t>
      </w:r>
      <w:r>
        <w:rPr>
          <w:rFonts w:ascii="標楷體" w:eastAsia="標楷體" w:hAnsi="標楷體" w:cs="Times New Roman"/>
          <w:kern w:val="0"/>
          <w:sz w:val="28"/>
          <w:szCs w:val="28"/>
        </w:rPr>
        <w:t>：</w:t>
      </w:r>
      <w:r>
        <w:rPr>
          <w:rFonts w:ascii="標楷體" w:eastAsia="標楷體" w:hAnsi="標楷體"/>
          <w:kern w:val="0"/>
          <w:sz w:val="28"/>
          <w:szCs w:val="28"/>
        </w:rPr>
        <w:t>完善就學協助機制」</w:t>
      </w:r>
      <w:r>
        <w:rPr>
          <w:rFonts w:ascii="標楷體" w:eastAsia="標楷體" w:hAnsi="標楷體" w:cs="Times New Roman"/>
          <w:kern w:val="0"/>
          <w:sz w:val="28"/>
          <w:szCs w:val="28"/>
        </w:rPr>
        <w:t>：</w:t>
      </w:r>
      <w:r>
        <w:rPr>
          <w:rFonts w:ascii="標楷體" w:eastAsia="標楷體" w:hAnsi="標楷體"/>
          <w:kern w:val="0"/>
          <w:sz w:val="28"/>
          <w:szCs w:val="28"/>
        </w:rPr>
        <w:t>公立學校所提「提升經濟或文化不利學生入學機會」經費以經常門為原則，資本門以百分之二十為限；各校所提「強化各校整體輔導機制」及「引導學校建立外部募款基金」，僅得編列經常門。另有關提升高教公共性(完善就學協助機制經費)，僅得編列用於強化招收經濟或文化不利學生所需之招生事務經費(非指學校既有之一般性招生事務)及透過課程學習或就業輔導等方式提供學生之直接經費。</w:t>
      </w:r>
    </w:p>
    <w:p w:rsidR="00BC6FE0" w:rsidRDefault="005439D1">
      <w:pPr>
        <w:pStyle w:val="Standard"/>
        <w:numPr>
          <w:ilvl w:val="0"/>
          <w:numId w:val="13"/>
        </w:numPr>
        <w:snapToGrid w:val="0"/>
        <w:spacing w:line="440" w:lineRule="exact"/>
        <w:ind w:left="680" w:hanging="567"/>
        <w:rPr>
          <w:rFonts w:ascii="標楷體" w:eastAsia="標楷體" w:hAnsi="標楷體"/>
          <w:kern w:val="0"/>
          <w:sz w:val="28"/>
          <w:szCs w:val="28"/>
        </w:rPr>
      </w:pPr>
      <w:r>
        <w:rPr>
          <w:rFonts w:ascii="標楷體" w:eastAsia="標楷體" w:hAnsi="標楷體"/>
          <w:kern w:val="0"/>
          <w:sz w:val="28"/>
          <w:szCs w:val="28"/>
        </w:rPr>
        <w:t>第二部分特色領域研究中心：教育部得另行撥付核定經費至多百分之二十作為學校整體發展運用。</w:t>
      </w:r>
    </w:p>
    <w:p w:rsidR="00BC6FE0" w:rsidRDefault="005439D1" w:rsidP="005D2E29">
      <w:pPr>
        <w:pStyle w:val="a5"/>
        <w:widowControl/>
        <w:numPr>
          <w:ilvl w:val="0"/>
          <w:numId w:val="2"/>
        </w:numPr>
        <w:tabs>
          <w:tab w:val="left" w:pos="1189"/>
        </w:tabs>
        <w:spacing w:line="440" w:lineRule="exact"/>
        <w:ind w:left="622" w:hanging="622"/>
        <w:rPr>
          <w:rFonts w:ascii="標楷體" w:eastAsia="標楷體" w:hAnsi="標楷體" w:cs="Times New Roman"/>
          <w:kern w:val="0"/>
          <w:sz w:val="28"/>
          <w:szCs w:val="28"/>
        </w:rPr>
      </w:pPr>
      <w:r>
        <w:rPr>
          <w:rFonts w:ascii="標楷體" w:eastAsia="標楷體" w:hAnsi="標楷體" w:cs="Times New Roman"/>
          <w:kern w:val="0"/>
          <w:sz w:val="28"/>
          <w:szCs w:val="28"/>
        </w:rPr>
        <w:t>計畫經費編列基準及支用原則：</w:t>
      </w:r>
    </w:p>
    <w:p w:rsidR="00BC6FE0" w:rsidRDefault="005439D1">
      <w:pPr>
        <w:pStyle w:val="a5"/>
        <w:widowControl/>
        <w:numPr>
          <w:ilvl w:val="0"/>
          <w:numId w:val="34"/>
        </w:numPr>
        <w:spacing w:line="440" w:lineRule="exact"/>
        <w:ind w:left="680" w:hanging="567"/>
        <w:rPr>
          <w:rFonts w:ascii="標楷體" w:eastAsia="標楷體" w:hAnsi="標楷體"/>
          <w:kern w:val="0"/>
          <w:sz w:val="28"/>
          <w:szCs w:val="28"/>
        </w:rPr>
      </w:pPr>
      <w:r>
        <w:rPr>
          <w:rFonts w:ascii="標楷體" w:eastAsia="標楷體" w:hAnsi="標楷體"/>
          <w:kern w:val="0"/>
          <w:sz w:val="28"/>
          <w:szCs w:val="28"/>
        </w:rPr>
        <w:t>本計畫以五年為期進行規劃，經費採分年核定補助，作為調整經費額度之依據。</w:t>
      </w:r>
    </w:p>
    <w:p w:rsidR="00BC6FE0" w:rsidRDefault="005439D1">
      <w:pPr>
        <w:pStyle w:val="a5"/>
        <w:widowControl/>
        <w:numPr>
          <w:ilvl w:val="0"/>
          <w:numId w:val="15"/>
        </w:numPr>
        <w:spacing w:line="440" w:lineRule="exact"/>
        <w:ind w:left="680" w:hanging="567"/>
        <w:rPr>
          <w:rFonts w:ascii="標楷體" w:eastAsia="標楷體" w:hAnsi="標楷體"/>
          <w:kern w:val="0"/>
          <w:sz w:val="28"/>
          <w:szCs w:val="28"/>
        </w:rPr>
      </w:pPr>
      <w:r>
        <w:rPr>
          <w:rFonts w:ascii="標楷體" w:eastAsia="標楷體" w:hAnsi="標楷體"/>
          <w:kern w:val="0"/>
          <w:sz w:val="28"/>
          <w:szCs w:val="28"/>
        </w:rPr>
        <w:t>本計畫補助之經費，係為提升學校整體教學及研究水準；其使用範圍如下：</w:t>
      </w:r>
    </w:p>
    <w:p w:rsidR="00BC6FE0" w:rsidRDefault="005439D1">
      <w:pPr>
        <w:pStyle w:val="a5"/>
        <w:widowControl/>
        <w:numPr>
          <w:ilvl w:val="0"/>
          <w:numId w:val="35"/>
        </w:numPr>
        <w:spacing w:line="440" w:lineRule="exact"/>
        <w:ind w:left="680" w:hanging="283"/>
        <w:rPr>
          <w:rFonts w:ascii="標楷體" w:eastAsia="標楷體" w:hAnsi="標楷體"/>
          <w:kern w:val="0"/>
          <w:sz w:val="28"/>
          <w:szCs w:val="28"/>
        </w:rPr>
      </w:pPr>
      <w:r>
        <w:rPr>
          <w:rFonts w:ascii="標楷體" w:eastAsia="標楷體" w:hAnsi="標楷體"/>
          <w:kern w:val="0"/>
          <w:sz w:val="28"/>
          <w:szCs w:val="28"/>
        </w:rPr>
        <w:t>學生學習、輔導、國際交流及提升學生學習成效等相關費用。</w:t>
      </w:r>
    </w:p>
    <w:p w:rsidR="00BC6FE0" w:rsidRDefault="005439D1">
      <w:pPr>
        <w:pStyle w:val="a5"/>
        <w:widowControl/>
        <w:numPr>
          <w:ilvl w:val="0"/>
          <w:numId w:val="4"/>
        </w:numPr>
        <w:spacing w:line="440" w:lineRule="exact"/>
        <w:ind w:left="680" w:hanging="283"/>
        <w:rPr>
          <w:rFonts w:ascii="標楷體" w:eastAsia="標楷體" w:hAnsi="標楷體"/>
          <w:kern w:val="0"/>
          <w:sz w:val="28"/>
          <w:szCs w:val="28"/>
          <w:lang w:eastAsia="zh-HK"/>
        </w:rPr>
      </w:pPr>
      <w:r>
        <w:rPr>
          <w:rFonts w:ascii="標楷體" w:eastAsia="標楷體" w:hAnsi="標楷體"/>
          <w:kern w:val="0"/>
          <w:sz w:val="28"/>
          <w:szCs w:val="28"/>
          <w:lang w:eastAsia="zh-HK"/>
        </w:rPr>
        <w:t>購置教學、研究所需之圖書儀器。</w:t>
      </w:r>
    </w:p>
    <w:p w:rsidR="00BC6FE0" w:rsidRDefault="005439D1">
      <w:pPr>
        <w:pStyle w:val="a5"/>
        <w:widowControl/>
        <w:numPr>
          <w:ilvl w:val="0"/>
          <w:numId w:val="4"/>
        </w:numPr>
        <w:spacing w:line="440" w:lineRule="exact"/>
        <w:ind w:left="680" w:hanging="283"/>
        <w:rPr>
          <w:rFonts w:ascii="標楷體" w:eastAsia="標楷體" w:hAnsi="標楷體"/>
          <w:sz w:val="28"/>
          <w:szCs w:val="28"/>
        </w:rPr>
      </w:pPr>
      <w:r>
        <w:rPr>
          <w:rFonts w:ascii="標楷體" w:eastAsia="標楷體" w:hAnsi="標楷體"/>
          <w:kern w:val="0"/>
          <w:sz w:val="28"/>
          <w:szCs w:val="28"/>
        </w:rPr>
        <w:t>與教學直接相關校舍建築之修繕，以第一部分主冊計畫及第二部分全校型計畫補助經費之百分之十為限。</w:t>
      </w:r>
    </w:p>
    <w:p w:rsidR="00BC6FE0" w:rsidRDefault="005439D1">
      <w:pPr>
        <w:pStyle w:val="a5"/>
        <w:widowControl/>
        <w:numPr>
          <w:ilvl w:val="0"/>
          <w:numId w:val="4"/>
        </w:numPr>
        <w:spacing w:line="440" w:lineRule="exact"/>
        <w:ind w:left="680" w:hanging="283"/>
        <w:rPr>
          <w:rFonts w:ascii="標楷體" w:eastAsia="標楷體" w:hAnsi="標楷體"/>
          <w:kern w:val="0"/>
          <w:sz w:val="28"/>
          <w:szCs w:val="28"/>
          <w:lang w:eastAsia="zh-HK"/>
        </w:rPr>
      </w:pPr>
      <w:r>
        <w:rPr>
          <w:rFonts w:ascii="標楷體" w:eastAsia="標楷體" w:hAnsi="標楷體"/>
          <w:kern w:val="0"/>
          <w:sz w:val="28"/>
          <w:szCs w:val="28"/>
          <w:lang w:eastAsia="zh-HK"/>
        </w:rPr>
        <w:t>辦理國際學術交流。</w:t>
      </w:r>
    </w:p>
    <w:p w:rsidR="00BC6FE0" w:rsidRDefault="005439D1">
      <w:pPr>
        <w:pStyle w:val="a5"/>
        <w:widowControl/>
        <w:numPr>
          <w:ilvl w:val="0"/>
          <w:numId w:val="4"/>
        </w:numPr>
        <w:spacing w:line="440" w:lineRule="exact"/>
        <w:ind w:left="680" w:hanging="283"/>
        <w:rPr>
          <w:rFonts w:ascii="標楷體" w:eastAsia="標楷體" w:hAnsi="標楷體"/>
          <w:kern w:val="0"/>
          <w:sz w:val="28"/>
          <w:szCs w:val="28"/>
        </w:rPr>
      </w:pPr>
      <w:r>
        <w:rPr>
          <w:rFonts w:ascii="標楷體" w:eastAsia="標楷體" w:hAnsi="標楷體"/>
          <w:kern w:val="0"/>
          <w:sz w:val="28"/>
          <w:szCs w:val="28"/>
        </w:rPr>
        <w:lastRenderedPageBreak/>
        <w:t>於學校編制外，聘任國內外知名學者、專家、技術人員或博士後研究人員擔任特聘職教授人員及編制外計畫管理人才之薪資。</w:t>
      </w:r>
    </w:p>
    <w:p w:rsidR="00BC6FE0" w:rsidRDefault="005439D1">
      <w:pPr>
        <w:pStyle w:val="a5"/>
        <w:widowControl/>
        <w:numPr>
          <w:ilvl w:val="0"/>
          <w:numId w:val="4"/>
        </w:numPr>
        <w:spacing w:line="440" w:lineRule="exact"/>
        <w:ind w:left="680" w:hanging="283"/>
        <w:rPr>
          <w:rFonts w:ascii="標楷體" w:eastAsia="標楷體" w:hAnsi="標楷體"/>
          <w:kern w:val="0"/>
          <w:sz w:val="28"/>
          <w:szCs w:val="28"/>
          <w:lang w:eastAsia="zh-HK"/>
        </w:rPr>
      </w:pPr>
      <w:r>
        <w:rPr>
          <w:rFonts w:ascii="標楷體" w:eastAsia="標楷體" w:hAnsi="標楷體"/>
          <w:kern w:val="0"/>
          <w:sz w:val="28"/>
          <w:szCs w:val="28"/>
          <w:lang w:eastAsia="zh-HK"/>
        </w:rPr>
        <w:t>提供編制內教師（包括研究人員及專業技術人員）除本俸、學術加給及主管職務加給以外之經費。</w:t>
      </w:r>
    </w:p>
    <w:p w:rsidR="00BC6FE0" w:rsidRDefault="005439D1">
      <w:pPr>
        <w:pStyle w:val="a5"/>
        <w:widowControl/>
        <w:numPr>
          <w:ilvl w:val="0"/>
          <w:numId w:val="4"/>
        </w:numPr>
        <w:spacing w:line="440" w:lineRule="exact"/>
        <w:ind w:left="680" w:hanging="283"/>
        <w:rPr>
          <w:rFonts w:ascii="標楷體" w:eastAsia="標楷體" w:hAnsi="標楷體"/>
          <w:kern w:val="0"/>
          <w:sz w:val="28"/>
          <w:szCs w:val="28"/>
          <w:lang w:eastAsia="zh-HK"/>
        </w:rPr>
      </w:pPr>
      <w:r>
        <w:rPr>
          <w:rFonts w:ascii="標楷體" w:eastAsia="標楷體" w:hAnsi="標楷體"/>
          <w:kern w:val="0"/>
          <w:sz w:val="28"/>
          <w:szCs w:val="28"/>
          <w:lang w:eastAsia="zh-HK"/>
        </w:rPr>
        <w:t>聘任編制外專案工作人員之薪資。</w:t>
      </w:r>
    </w:p>
    <w:p w:rsidR="00BC6FE0" w:rsidRDefault="005439D1">
      <w:pPr>
        <w:pStyle w:val="a5"/>
        <w:widowControl/>
        <w:numPr>
          <w:ilvl w:val="0"/>
          <w:numId w:val="4"/>
        </w:numPr>
        <w:spacing w:line="440" w:lineRule="exact"/>
        <w:ind w:left="680" w:hanging="283"/>
        <w:rPr>
          <w:rFonts w:ascii="標楷體" w:eastAsia="標楷體" w:hAnsi="標楷體"/>
          <w:sz w:val="28"/>
          <w:szCs w:val="28"/>
        </w:rPr>
      </w:pPr>
      <w:r>
        <w:rPr>
          <w:rFonts w:ascii="標楷體" w:eastAsia="標楷體" w:hAnsi="標楷體"/>
          <w:kern w:val="0"/>
          <w:sz w:val="28"/>
          <w:szCs w:val="28"/>
          <w:lang w:eastAsia="zh-HK"/>
        </w:rPr>
        <w:t>教師因執行計畫之需要，協助教材或教案</w:t>
      </w:r>
      <w:r>
        <w:rPr>
          <w:rFonts w:ascii="標楷體" w:eastAsia="標楷體" w:hAnsi="標楷體"/>
          <w:kern w:val="0"/>
          <w:sz w:val="28"/>
          <w:szCs w:val="28"/>
        </w:rPr>
        <w:t>研發</w:t>
      </w:r>
      <w:r>
        <w:rPr>
          <w:rFonts w:ascii="標楷體" w:eastAsia="標楷體" w:hAnsi="標楷體"/>
          <w:kern w:val="0"/>
          <w:sz w:val="28"/>
          <w:szCs w:val="28"/>
          <w:lang w:eastAsia="zh-HK"/>
        </w:rPr>
        <w:t>，學校應訂定支給規定或標準</w:t>
      </w:r>
      <w:r>
        <w:rPr>
          <w:rFonts w:ascii="標楷體" w:eastAsia="標楷體" w:hAnsi="標楷體"/>
          <w:kern w:val="0"/>
          <w:sz w:val="28"/>
          <w:szCs w:val="28"/>
        </w:rPr>
        <w:t>，始</w:t>
      </w:r>
      <w:r>
        <w:rPr>
          <w:rFonts w:ascii="標楷體" w:eastAsia="標楷體" w:hAnsi="標楷體"/>
          <w:kern w:val="0"/>
          <w:sz w:val="28"/>
          <w:szCs w:val="28"/>
          <w:lang w:eastAsia="zh-HK"/>
        </w:rPr>
        <w:t>得編列相關費用</w:t>
      </w:r>
      <w:r>
        <w:rPr>
          <w:rFonts w:ascii="標楷體" w:eastAsia="標楷體" w:hAnsi="標楷體"/>
          <w:kern w:val="0"/>
          <w:sz w:val="28"/>
          <w:szCs w:val="28"/>
        </w:rPr>
        <w:t>。</w:t>
      </w:r>
    </w:p>
    <w:p w:rsidR="00BC6FE0" w:rsidRDefault="005439D1" w:rsidP="005D2E29">
      <w:pPr>
        <w:pStyle w:val="a5"/>
        <w:widowControl/>
        <w:numPr>
          <w:ilvl w:val="0"/>
          <w:numId w:val="15"/>
        </w:numPr>
        <w:tabs>
          <w:tab w:val="left" w:pos="1389"/>
        </w:tabs>
        <w:spacing w:line="440" w:lineRule="exact"/>
        <w:ind w:left="680" w:hanging="567"/>
        <w:rPr>
          <w:rFonts w:ascii="標楷體" w:eastAsia="標楷體" w:hAnsi="標楷體"/>
          <w:kern w:val="0"/>
          <w:sz w:val="28"/>
          <w:szCs w:val="28"/>
        </w:rPr>
      </w:pPr>
      <w:r>
        <w:rPr>
          <w:rFonts w:ascii="標楷體" w:eastAsia="標楷體" w:hAnsi="標楷體"/>
          <w:kern w:val="0"/>
          <w:sz w:val="28"/>
          <w:szCs w:val="28"/>
        </w:rPr>
        <w:t>本計畫經費不得支用於下列項目：</w:t>
      </w:r>
    </w:p>
    <w:p w:rsidR="00BC6FE0" w:rsidRDefault="005439D1">
      <w:pPr>
        <w:pStyle w:val="a5"/>
        <w:widowControl/>
        <w:numPr>
          <w:ilvl w:val="0"/>
          <w:numId w:val="37"/>
        </w:numPr>
        <w:spacing w:line="440" w:lineRule="exact"/>
        <w:ind w:left="680" w:hanging="283"/>
        <w:rPr>
          <w:rFonts w:ascii="標楷體" w:eastAsia="標楷體" w:hAnsi="標楷體"/>
          <w:kern w:val="0"/>
          <w:sz w:val="28"/>
          <w:szCs w:val="28"/>
          <w:lang w:eastAsia="zh-HK"/>
        </w:rPr>
      </w:pPr>
      <w:r>
        <w:rPr>
          <w:rFonts w:ascii="標楷體" w:eastAsia="標楷體" w:hAnsi="標楷體"/>
          <w:kern w:val="0"/>
          <w:sz w:val="28"/>
          <w:szCs w:val="28"/>
          <w:lang w:eastAsia="zh-HK"/>
        </w:rPr>
        <w:t>經常性維運性質之修繕經費、新建校舍工程建築、建築貸款利息補助及附屬機構。</w:t>
      </w:r>
    </w:p>
    <w:p w:rsidR="00BC6FE0" w:rsidRDefault="005439D1">
      <w:pPr>
        <w:pStyle w:val="a5"/>
        <w:widowControl/>
        <w:numPr>
          <w:ilvl w:val="0"/>
          <w:numId w:val="16"/>
        </w:numPr>
        <w:spacing w:line="440" w:lineRule="exact"/>
        <w:ind w:left="680" w:hanging="283"/>
        <w:rPr>
          <w:rFonts w:ascii="標楷體" w:eastAsia="標楷體" w:hAnsi="標楷體"/>
          <w:kern w:val="0"/>
          <w:sz w:val="28"/>
          <w:szCs w:val="28"/>
        </w:rPr>
      </w:pPr>
      <w:r>
        <w:rPr>
          <w:rFonts w:ascii="標楷體" w:eastAsia="標楷體" w:hAnsi="標楷體"/>
          <w:kern w:val="0"/>
          <w:sz w:val="28"/>
          <w:szCs w:val="28"/>
        </w:rPr>
        <w:t>一般行政事務性設施(如書櫃、辦公桌椅、冰箱、沙發、茶几、咖啡機等)。但用以提升學生學習品質之教室、空間修繕，不在此限。</w:t>
      </w:r>
    </w:p>
    <w:p w:rsidR="00BC6FE0" w:rsidRDefault="005439D1">
      <w:pPr>
        <w:pStyle w:val="a5"/>
        <w:widowControl/>
        <w:numPr>
          <w:ilvl w:val="0"/>
          <w:numId w:val="16"/>
        </w:numPr>
        <w:spacing w:line="440" w:lineRule="exact"/>
        <w:ind w:left="680" w:hanging="283"/>
        <w:rPr>
          <w:rFonts w:ascii="標楷體" w:eastAsia="標楷體" w:hAnsi="標楷體"/>
          <w:kern w:val="0"/>
          <w:sz w:val="28"/>
          <w:szCs w:val="28"/>
          <w:lang w:eastAsia="zh-HK"/>
        </w:rPr>
      </w:pPr>
      <w:r>
        <w:rPr>
          <w:rFonts w:ascii="標楷體" w:eastAsia="標楷體" w:hAnsi="標楷體"/>
          <w:kern w:val="0"/>
          <w:sz w:val="28"/>
          <w:szCs w:val="28"/>
          <w:lang w:eastAsia="zh-HK"/>
        </w:rPr>
        <w:t>附屬機構、分部、分校及園區之土地取得及建築設施所需費用。 </w:t>
      </w:r>
    </w:p>
    <w:p w:rsidR="00BC6FE0" w:rsidRDefault="005439D1">
      <w:pPr>
        <w:pStyle w:val="a5"/>
        <w:widowControl/>
        <w:numPr>
          <w:ilvl w:val="0"/>
          <w:numId w:val="16"/>
        </w:numPr>
        <w:spacing w:line="440" w:lineRule="exact"/>
        <w:ind w:left="680" w:hanging="283"/>
        <w:rPr>
          <w:rFonts w:ascii="標楷體" w:eastAsia="標楷體" w:hAnsi="標楷體"/>
          <w:sz w:val="28"/>
          <w:szCs w:val="28"/>
        </w:rPr>
      </w:pPr>
      <w:r>
        <w:rPr>
          <w:rFonts w:ascii="標楷體" w:eastAsia="標楷體" w:hAnsi="標楷體"/>
          <w:kern w:val="0"/>
          <w:sz w:val="28"/>
          <w:szCs w:val="28"/>
          <w:lang w:eastAsia="zh-HK"/>
        </w:rPr>
        <w:t>原已獲行政院</w:t>
      </w:r>
      <w:r>
        <w:rPr>
          <w:rFonts w:ascii="標楷體" w:eastAsia="標楷體" w:hAnsi="標楷體"/>
          <w:kern w:val="0"/>
          <w:sz w:val="28"/>
          <w:szCs w:val="28"/>
        </w:rPr>
        <w:t>或本部</w:t>
      </w:r>
      <w:r>
        <w:rPr>
          <w:rFonts w:ascii="標楷體" w:eastAsia="標楷體" w:hAnsi="標楷體"/>
          <w:kern w:val="0"/>
          <w:sz w:val="28"/>
          <w:szCs w:val="28"/>
          <w:lang w:eastAsia="zh-HK"/>
        </w:rPr>
        <w:t>核定建築工程，並承諾由學校校務基金支應者。</w:t>
      </w:r>
    </w:p>
    <w:p w:rsidR="00BC6FE0" w:rsidRDefault="005439D1">
      <w:pPr>
        <w:pStyle w:val="a5"/>
        <w:widowControl/>
        <w:numPr>
          <w:ilvl w:val="0"/>
          <w:numId w:val="16"/>
        </w:numPr>
        <w:spacing w:line="440" w:lineRule="exact"/>
        <w:ind w:left="680" w:hanging="283"/>
        <w:rPr>
          <w:rFonts w:ascii="標楷體" w:eastAsia="標楷體" w:hAnsi="標楷體"/>
          <w:sz w:val="28"/>
          <w:szCs w:val="28"/>
        </w:rPr>
      </w:pPr>
      <w:r>
        <w:rPr>
          <w:rFonts w:ascii="標楷體" w:eastAsia="標楷體" w:hAnsi="標楷體"/>
          <w:kern w:val="0"/>
          <w:sz w:val="28"/>
          <w:szCs w:val="28"/>
          <w:lang w:eastAsia="zh-HK"/>
        </w:rPr>
        <w:t>建築物耐震補強工程、新增工程之自償性建築設施、體育設施及餐廳</w:t>
      </w:r>
      <w:r>
        <w:rPr>
          <w:rFonts w:ascii="標楷體" w:eastAsia="標楷體" w:hAnsi="標楷體"/>
          <w:kern w:val="0"/>
          <w:sz w:val="28"/>
          <w:szCs w:val="28"/>
        </w:rPr>
        <w:t>。</w:t>
      </w:r>
    </w:p>
    <w:p w:rsidR="00BC6FE0" w:rsidRDefault="005439D1">
      <w:pPr>
        <w:pStyle w:val="a5"/>
        <w:widowControl/>
        <w:numPr>
          <w:ilvl w:val="0"/>
          <w:numId w:val="16"/>
        </w:numPr>
        <w:spacing w:line="440" w:lineRule="exact"/>
        <w:ind w:left="680" w:hanging="283"/>
        <w:rPr>
          <w:rFonts w:ascii="標楷體" w:eastAsia="標楷體" w:hAnsi="標楷體"/>
          <w:sz w:val="28"/>
          <w:szCs w:val="28"/>
        </w:rPr>
      </w:pPr>
      <w:r>
        <w:rPr>
          <w:rFonts w:ascii="標楷體" w:eastAsia="標楷體" w:hAnsi="標楷體"/>
          <w:kern w:val="0"/>
          <w:sz w:val="28"/>
          <w:szCs w:val="28"/>
        </w:rPr>
        <w:t>本計畫之主持費用、學校管理費（包括水電費、電話費、燃料費及一般行政事務設備之維護費用）及內部場地費，但</w:t>
      </w:r>
      <w:r>
        <w:rPr>
          <w:rFonts w:ascii="標楷體" w:eastAsia="標楷體" w:hAnsi="標楷體"/>
          <w:sz w:val="28"/>
          <w:szCs w:val="28"/>
        </w:rPr>
        <w:t>內部場地有對外收費，且供辦理計畫使用者，不在此限。</w:t>
      </w:r>
    </w:p>
    <w:p w:rsidR="00BC6FE0" w:rsidRDefault="005439D1">
      <w:pPr>
        <w:pStyle w:val="a5"/>
        <w:widowControl/>
        <w:numPr>
          <w:ilvl w:val="0"/>
          <w:numId w:val="16"/>
        </w:numPr>
        <w:spacing w:line="440" w:lineRule="exact"/>
        <w:ind w:left="680" w:hanging="283"/>
        <w:rPr>
          <w:rFonts w:ascii="標楷體" w:eastAsia="標楷體" w:hAnsi="標楷體"/>
          <w:sz w:val="28"/>
          <w:szCs w:val="28"/>
        </w:rPr>
      </w:pPr>
      <w:r>
        <w:rPr>
          <w:rFonts w:ascii="標楷體" w:eastAsia="標楷體" w:hAnsi="標楷體"/>
          <w:kern w:val="0"/>
          <w:sz w:val="28"/>
          <w:szCs w:val="28"/>
        </w:rPr>
        <w:t>教育部補助各</w:t>
      </w:r>
      <w:r>
        <w:rPr>
          <w:rFonts w:ascii="標楷體" w:eastAsia="標楷體" w:hAnsi="標楷體"/>
          <w:kern w:val="0"/>
          <w:sz w:val="28"/>
          <w:szCs w:val="28"/>
          <w:lang w:eastAsia="zh-HK"/>
        </w:rPr>
        <w:t>機關人員之出席費、稿費、審查費、工作費、引言人費、諮詢費及加班費。但出席費、稿費、審查費屬研究性質者，由學校訂定相關規範及支用原則後，得依教育部補</w:t>
      </w:r>
      <w:r>
        <w:rPr>
          <w:rFonts w:ascii="標楷體" w:eastAsia="標楷體" w:hAnsi="標楷體"/>
          <w:kern w:val="0"/>
          <w:sz w:val="28"/>
          <w:szCs w:val="28"/>
        </w:rPr>
        <w:t>(捐)</w:t>
      </w:r>
      <w:r>
        <w:rPr>
          <w:rFonts w:ascii="標楷體" w:eastAsia="標楷體" w:hAnsi="標楷體"/>
          <w:kern w:val="0"/>
          <w:sz w:val="28"/>
          <w:szCs w:val="28"/>
          <w:lang w:eastAsia="zh-HK"/>
        </w:rPr>
        <w:t>助及委辦經費核撥結報作業要點之計畫彈性經費支用規定辦理。</w:t>
      </w:r>
    </w:p>
    <w:p w:rsidR="00BC6FE0" w:rsidRDefault="005439D1">
      <w:pPr>
        <w:pStyle w:val="a5"/>
        <w:widowControl/>
        <w:numPr>
          <w:ilvl w:val="0"/>
          <w:numId w:val="16"/>
        </w:numPr>
        <w:spacing w:line="440" w:lineRule="exact"/>
        <w:ind w:left="680" w:hanging="283"/>
        <w:rPr>
          <w:rFonts w:ascii="標楷體" w:eastAsia="標楷體" w:hAnsi="標楷體"/>
          <w:sz w:val="28"/>
          <w:szCs w:val="28"/>
        </w:rPr>
      </w:pPr>
      <w:r>
        <w:rPr>
          <w:rFonts w:ascii="標楷體" w:eastAsia="標楷體" w:hAnsi="標楷體"/>
          <w:kern w:val="0"/>
          <w:sz w:val="28"/>
          <w:szCs w:val="28"/>
          <w:lang w:eastAsia="zh-HK"/>
        </w:rPr>
        <w:t>學校於招生(包括國內及</w:t>
      </w:r>
      <w:r>
        <w:rPr>
          <w:rFonts w:ascii="標楷體" w:eastAsia="標楷體" w:hAnsi="標楷體"/>
          <w:kern w:val="0"/>
          <w:sz w:val="28"/>
          <w:szCs w:val="28"/>
        </w:rPr>
        <w:t>境外</w:t>
      </w:r>
      <w:r>
        <w:rPr>
          <w:rFonts w:ascii="標楷體" w:eastAsia="標楷體" w:hAnsi="標楷體"/>
          <w:kern w:val="0"/>
          <w:sz w:val="28"/>
          <w:szCs w:val="28"/>
          <w:lang w:eastAsia="zh-HK"/>
        </w:rPr>
        <w:t>學生)時所提供入學之各項公費或獎助學金</w:t>
      </w:r>
      <w:r>
        <w:rPr>
          <w:rFonts w:ascii="標楷體" w:eastAsia="標楷體" w:hAnsi="標楷體"/>
          <w:kern w:val="0"/>
          <w:sz w:val="28"/>
          <w:szCs w:val="28"/>
        </w:rPr>
        <w:t>。</w:t>
      </w:r>
    </w:p>
    <w:p w:rsidR="00BC6FE0" w:rsidRDefault="005439D1">
      <w:pPr>
        <w:pStyle w:val="a5"/>
        <w:widowControl/>
        <w:numPr>
          <w:ilvl w:val="0"/>
          <w:numId w:val="16"/>
        </w:numPr>
        <w:spacing w:line="440" w:lineRule="exact"/>
        <w:ind w:left="680" w:hanging="283"/>
        <w:rPr>
          <w:rFonts w:ascii="標楷體" w:eastAsia="標楷體" w:hAnsi="標楷體"/>
          <w:sz w:val="28"/>
          <w:szCs w:val="28"/>
        </w:rPr>
      </w:pPr>
      <w:r>
        <w:rPr>
          <w:rFonts w:ascii="標楷體" w:eastAsia="標楷體" w:hAnsi="標楷體"/>
          <w:kern w:val="0"/>
          <w:sz w:val="28"/>
          <w:szCs w:val="28"/>
          <w:lang w:eastAsia="zh-HK"/>
        </w:rPr>
        <w:t>學校以本計畫經費支給特殊優秀教師及研究人員，其於教學、研究、服務各面向之績效，經學校校內審核機制及組成審查委員會評估績效卓著者，得獲彈性薪資，</w:t>
      </w:r>
      <w:r>
        <w:rPr>
          <w:rFonts w:ascii="標楷體" w:eastAsia="標楷體" w:hAnsi="標楷體"/>
          <w:kern w:val="0"/>
          <w:sz w:val="28"/>
          <w:szCs w:val="28"/>
        </w:rPr>
        <w:t>但</w:t>
      </w:r>
      <w:r>
        <w:rPr>
          <w:rFonts w:ascii="標楷體" w:eastAsia="標楷體" w:hAnsi="標楷體"/>
          <w:kern w:val="0"/>
          <w:sz w:val="28"/>
          <w:szCs w:val="28"/>
          <w:lang w:eastAsia="zh-HK"/>
        </w:rPr>
        <w:t>不得以本計畫經費支給單篇研究論文之彈性薪資（包括獎勵金）。</w:t>
      </w:r>
    </w:p>
    <w:p w:rsidR="00BC6FE0" w:rsidRDefault="005439D1" w:rsidP="005D2E29">
      <w:pPr>
        <w:pStyle w:val="a5"/>
        <w:widowControl/>
        <w:numPr>
          <w:ilvl w:val="0"/>
          <w:numId w:val="15"/>
        </w:numPr>
        <w:spacing w:line="440" w:lineRule="exact"/>
        <w:ind w:left="680" w:hanging="567"/>
        <w:rPr>
          <w:rFonts w:ascii="標楷體" w:eastAsia="標楷體" w:hAnsi="標楷體"/>
          <w:kern w:val="0"/>
          <w:sz w:val="28"/>
          <w:szCs w:val="28"/>
        </w:rPr>
      </w:pPr>
      <w:r>
        <w:rPr>
          <w:rFonts w:ascii="標楷體" w:eastAsia="標楷體" w:hAnsi="標楷體"/>
          <w:kern w:val="0"/>
          <w:sz w:val="28"/>
          <w:szCs w:val="28"/>
        </w:rPr>
        <w:t xml:space="preserve"> 人事費用(包括彈性薪資)編列原則：</w:t>
      </w:r>
    </w:p>
    <w:p w:rsidR="00BC6FE0" w:rsidRDefault="005439D1">
      <w:pPr>
        <w:pStyle w:val="a5"/>
        <w:widowControl/>
        <w:numPr>
          <w:ilvl w:val="0"/>
          <w:numId w:val="39"/>
        </w:numPr>
        <w:spacing w:line="440" w:lineRule="exact"/>
        <w:ind w:left="680" w:hanging="283"/>
        <w:rPr>
          <w:rFonts w:ascii="標楷體" w:eastAsia="標楷體" w:hAnsi="標楷體"/>
          <w:sz w:val="28"/>
          <w:szCs w:val="28"/>
        </w:rPr>
      </w:pPr>
      <w:r>
        <w:rPr>
          <w:rFonts w:ascii="標楷體" w:eastAsia="標楷體" w:hAnsi="標楷體"/>
          <w:kern w:val="0"/>
          <w:sz w:val="28"/>
          <w:szCs w:val="28"/>
          <w:lang w:eastAsia="zh-HK"/>
        </w:rPr>
        <w:t>學校依計畫需求核實編列，除經</w:t>
      </w:r>
      <w:r>
        <w:rPr>
          <w:rFonts w:ascii="標楷體" w:eastAsia="標楷體" w:hAnsi="標楷體"/>
          <w:kern w:val="0"/>
          <w:sz w:val="28"/>
          <w:szCs w:val="28"/>
        </w:rPr>
        <w:t>教育</w:t>
      </w:r>
      <w:r>
        <w:rPr>
          <w:rFonts w:ascii="標楷體" w:eastAsia="標楷體" w:hAnsi="標楷體"/>
          <w:kern w:val="0"/>
          <w:sz w:val="28"/>
          <w:szCs w:val="28"/>
          <w:lang w:eastAsia="zh-HK"/>
        </w:rPr>
        <w:t>部同意</w:t>
      </w:r>
      <w:r>
        <w:rPr>
          <w:rFonts w:ascii="標楷體" w:eastAsia="標楷體" w:hAnsi="標楷體"/>
          <w:kern w:val="0"/>
          <w:sz w:val="28"/>
          <w:szCs w:val="28"/>
        </w:rPr>
        <w:t>、</w:t>
      </w:r>
      <w:r>
        <w:rPr>
          <w:rFonts w:ascii="標楷體" w:eastAsia="標楷體" w:hAnsi="標楷體"/>
          <w:kern w:val="0"/>
          <w:sz w:val="28"/>
          <w:szCs w:val="28"/>
          <w:lang w:eastAsia="zh-HK"/>
        </w:rPr>
        <w:t>因政策調薪</w:t>
      </w:r>
      <w:r>
        <w:rPr>
          <w:rFonts w:ascii="標楷體" w:eastAsia="標楷體" w:hAnsi="標楷體"/>
          <w:kern w:val="0"/>
          <w:sz w:val="28"/>
          <w:szCs w:val="28"/>
        </w:rPr>
        <w:t>或</w:t>
      </w:r>
      <w:r>
        <w:rPr>
          <w:rFonts w:ascii="標楷體" w:eastAsia="標楷體" w:hAnsi="標楷體"/>
          <w:kern w:val="0"/>
          <w:sz w:val="28"/>
          <w:szCs w:val="28"/>
          <w:lang w:eastAsia="zh-HK"/>
        </w:rPr>
        <w:t>依法令規定調增相關費用致不敷使用者外，不得流入</w:t>
      </w:r>
      <w:r>
        <w:rPr>
          <w:rFonts w:ascii="標楷體" w:eastAsia="標楷體" w:hAnsi="標楷體"/>
          <w:kern w:val="0"/>
          <w:sz w:val="28"/>
          <w:szCs w:val="28"/>
        </w:rPr>
        <w:t>。但</w:t>
      </w:r>
      <w:r>
        <w:rPr>
          <w:rFonts w:ascii="標楷體" w:eastAsia="標楷體" w:hAnsi="標楷體"/>
          <w:kern w:val="0"/>
          <w:sz w:val="28"/>
          <w:szCs w:val="28"/>
          <w:lang w:eastAsia="zh-HK"/>
        </w:rPr>
        <w:t>情況特殊者，所</w:t>
      </w:r>
      <w:r>
        <w:rPr>
          <w:rFonts w:ascii="標楷體" w:eastAsia="標楷體" w:hAnsi="標楷體"/>
          <w:kern w:val="0"/>
          <w:sz w:val="28"/>
          <w:szCs w:val="28"/>
        </w:rPr>
        <w:t>需</w:t>
      </w:r>
      <w:r>
        <w:rPr>
          <w:rFonts w:ascii="標楷體" w:eastAsia="標楷體" w:hAnsi="標楷體"/>
          <w:kern w:val="0"/>
          <w:sz w:val="28"/>
          <w:szCs w:val="28"/>
          <w:lang w:eastAsia="zh-HK"/>
        </w:rPr>
        <w:t>經費占核定補助額度（</w:t>
      </w:r>
      <w:r>
        <w:rPr>
          <w:rFonts w:ascii="標楷體" w:eastAsia="標楷體" w:hAnsi="標楷體"/>
          <w:kern w:val="0"/>
          <w:sz w:val="28"/>
          <w:szCs w:val="28"/>
        </w:rPr>
        <w:t>包括</w:t>
      </w:r>
      <w:r>
        <w:rPr>
          <w:rFonts w:ascii="標楷體" w:eastAsia="標楷體" w:hAnsi="標楷體"/>
          <w:kern w:val="0"/>
          <w:sz w:val="28"/>
          <w:szCs w:val="28"/>
          <w:lang w:eastAsia="zh-HK"/>
        </w:rPr>
        <w:t>第一部分及第二部分）之比</w:t>
      </w:r>
      <w:r>
        <w:rPr>
          <w:rFonts w:ascii="標楷體" w:eastAsia="標楷體" w:hAnsi="標楷體"/>
          <w:kern w:val="0"/>
          <w:sz w:val="28"/>
          <w:szCs w:val="28"/>
        </w:rPr>
        <w:t>率</w:t>
      </w:r>
      <w:r>
        <w:rPr>
          <w:rFonts w:ascii="標楷體" w:eastAsia="標楷體" w:hAnsi="標楷體"/>
          <w:kern w:val="0"/>
          <w:sz w:val="28"/>
          <w:szCs w:val="28"/>
          <w:lang w:eastAsia="zh-HK"/>
        </w:rPr>
        <w:t>以不超過百分之五十為原則。</w:t>
      </w:r>
    </w:p>
    <w:p w:rsidR="00BC6FE0" w:rsidRDefault="005439D1">
      <w:pPr>
        <w:pStyle w:val="a5"/>
        <w:widowControl/>
        <w:numPr>
          <w:ilvl w:val="0"/>
          <w:numId w:val="17"/>
        </w:numPr>
        <w:spacing w:line="440" w:lineRule="exact"/>
        <w:ind w:left="680" w:hanging="283"/>
        <w:rPr>
          <w:rFonts w:ascii="標楷體" w:eastAsia="標楷體" w:hAnsi="標楷體"/>
          <w:kern w:val="0"/>
          <w:sz w:val="28"/>
          <w:szCs w:val="28"/>
          <w:lang w:eastAsia="zh-HK"/>
        </w:rPr>
      </w:pPr>
      <w:r>
        <w:rPr>
          <w:rFonts w:ascii="標楷體" w:eastAsia="標楷體" w:hAnsi="標楷體"/>
          <w:kern w:val="0"/>
          <w:sz w:val="28"/>
          <w:szCs w:val="28"/>
          <w:lang w:eastAsia="zh-HK"/>
        </w:rPr>
        <w:t>為延攬及留任國內外優秀人才，彈性薪資在人事費之額度內，依下列原則核實列支：</w:t>
      </w:r>
    </w:p>
    <w:p w:rsidR="00BC6FE0" w:rsidRDefault="005439D1">
      <w:pPr>
        <w:pStyle w:val="a5"/>
        <w:widowControl/>
        <w:numPr>
          <w:ilvl w:val="0"/>
          <w:numId w:val="40"/>
        </w:numPr>
        <w:spacing w:line="440" w:lineRule="exact"/>
        <w:ind w:left="1134" w:hanging="567"/>
        <w:rPr>
          <w:rFonts w:ascii="標楷體" w:eastAsia="標楷體" w:hAnsi="標楷體"/>
          <w:sz w:val="28"/>
          <w:szCs w:val="28"/>
        </w:rPr>
      </w:pPr>
      <w:r>
        <w:rPr>
          <w:rFonts w:ascii="標楷體" w:eastAsia="標楷體" w:hAnsi="標楷體"/>
          <w:kern w:val="0"/>
          <w:sz w:val="28"/>
          <w:szCs w:val="28"/>
        </w:rPr>
        <w:lastRenderedPageBreak/>
        <w:t>獲得本計畫（第一部分）補助經費之學校，得以核定補助額度（不包括附冊大學社會責任實踐計畫(以下簡稱USR)及附錄支用於經濟或文化不利學生協助經費）百分之五編列彈性薪資。</w:t>
      </w:r>
    </w:p>
    <w:p w:rsidR="00BC6FE0" w:rsidRDefault="005439D1">
      <w:pPr>
        <w:pStyle w:val="a5"/>
        <w:widowControl/>
        <w:numPr>
          <w:ilvl w:val="0"/>
          <w:numId w:val="18"/>
        </w:numPr>
        <w:spacing w:line="440" w:lineRule="exact"/>
        <w:ind w:left="1134" w:hanging="567"/>
        <w:rPr>
          <w:rFonts w:ascii="標楷體" w:eastAsia="標楷體" w:hAnsi="標楷體"/>
          <w:sz w:val="28"/>
          <w:szCs w:val="28"/>
        </w:rPr>
      </w:pPr>
      <w:r>
        <w:rPr>
          <w:rFonts w:ascii="標楷體" w:eastAsia="標楷體" w:hAnsi="標楷體"/>
          <w:kern w:val="0"/>
          <w:sz w:val="28"/>
          <w:szCs w:val="28"/>
        </w:rPr>
        <w:t>同時獲本計畫（第一部分及第二部分）經費補助之學校，得以核定補助額度（包括第一部分及第二部分，不包括USR計畫及附錄支用於經濟或文化不利學生協助經費）百分之二十編列彈性薪資。</w:t>
      </w:r>
    </w:p>
    <w:p w:rsidR="00BC6FE0" w:rsidRDefault="005439D1">
      <w:pPr>
        <w:pStyle w:val="a5"/>
        <w:widowControl/>
        <w:numPr>
          <w:ilvl w:val="0"/>
          <w:numId w:val="18"/>
        </w:numPr>
        <w:spacing w:line="440" w:lineRule="exact"/>
        <w:ind w:left="1134" w:hanging="567"/>
        <w:rPr>
          <w:rFonts w:ascii="標楷體" w:eastAsia="標楷體" w:hAnsi="標楷體"/>
          <w:sz w:val="28"/>
          <w:szCs w:val="28"/>
        </w:rPr>
      </w:pPr>
      <w:r>
        <w:rPr>
          <w:rFonts w:ascii="標楷體" w:eastAsia="標楷體" w:hAnsi="標楷體"/>
          <w:kern w:val="0"/>
          <w:sz w:val="28"/>
          <w:szCs w:val="28"/>
        </w:rPr>
        <w:t>經費支用依各校彈性薪資支給規定辦理，應包</w:t>
      </w:r>
      <w:r>
        <w:rPr>
          <w:rFonts w:ascii="標楷體" w:eastAsia="標楷體" w:hAnsi="標楷體"/>
          <w:sz w:val="28"/>
          <w:szCs w:val="28"/>
        </w:rPr>
        <w:t>括</w:t>
      </w:r>
      <w:r>
        <w:rPr>
          <w:rFonts w:ascii="標楷體" w:eastAsia="標楷體" w:hAnsi="標楷體"/>
          <w:kern w:val="0"/>
          <w:sz w:val="28"/>
          <w:szCs w:val="28"/>
        </w:rPr>
        <w:t>薪資差距比例、核給期程、各類人才核給比率、績效考核等，並應增訂獲彈性薪資副教授以下職級人數占獲獎勵人數之最低比率。</w:t>
      </w:r>
    </w:p>
    <w:p w:rsidR="00BC6FE0" w:rsidRDefault="005439D1">
      <w:pPr>
        <w:pStyle w:val="a5"/>
        <w:widowControl/>
        <w:numPr>
          <w:ilvl w:val="0"/>
          <w:numId w:val="18"/>
        </w:numPr>
        <w:spacing w:line="440" w:lineRule="exact"/>
        <w:ind w:left="1134" w:hanging="567"/>
        <w:rPr>
          <w:rFonts w:ascii="標楷體" w:eastAsia="標楷體" w:hAnsi="標楷體"/>
          <w:kern w:val="0"/>
          <w:sz w:val="28"/>
          <w:szCs w:val="28"/>
        </w:rPr>
      </w:pPr>
      <w:r>
        <w:rPr>
          <w:rFonts w:ascii="標楷體" w:eastAsia="標楷體" w:hAnsi="標楷體"/>
          <w:kern w:val="0"/>
          <w:sz w:val="28"/>
          <w:szCs w:val="28"/>
        </w:rPr>
        <w:t>學校聘任國內外知名學者、專家、技術人員、博士後研究人員擔任編制外教學、研究人員及計畫管理人才之薪資與編制內教師（包括研究人員及專業技術人員），除本俸、學術加給及主管職務加給以外之給與，得依彈性薪資方式，由學校視相關人員學術或專業地位、發展潛力、現有薪資等決定核給額度，不受校內現有薪資額度限制；所聘編制外人員為國外優異人才時，其最高薪資得比照其國外年薪待遇支領。學校並應依教育部彈性薪資方案訂定校內相關規定並完成校內程序後實施，並報教育部備查。</w:t>
      </w:r>
    </w:p>
    <w:p w:rsidR="00BC6FE0" w:rsidRDefault="005439D1" w:rsidP="005D2E29">
      <w:pPr>
        <w:pStyle w:val="a5"/>
        <w:widowControl/>
        <w:numPr>
          <w:ilvl w:val="0"/>
          <w:numId w:val="17"/>
        </w:numPr>
        <w:spacing w:line="440" w:lineRule="exact"/>
        <w:ind w:left="680" w:hanging="283"/>
        <w:rPr>
          <w:rFonts w:ascii="標楷體" w:eastAsia="標楷體" w:hAnsi="標楷體"/>
          <w:sz w:val="28"/>
          <w:szCs w:val="28"/>
        </w:rPr>
      </w:pPr>
      <w:r>
        <w:rPr>
          <w:rFonts w:ascii="標楷體" w:eastAsia="標楷體" w:hAnsi="標楷體"/>
          <w:kern w:val="0"/>
          <w:sz w:val="28"/>
          <w:szCs w:val="28"/>
          <w:lang w:eastAsia="zh-HK"/>
        </w:rPr>
        <w:t>為協助各大學改善生師比，學校得於人事費至多百分之二十之額度內新聘專任教師（</w:t>
      </w:r>
      <w:r>
        <w:rPr>
          <w:rFonts w:ascii="標楷體" w:eastAsia="標楷體" w:hAnsi="標楷體"/>
          <w:kern w:val="0"/>
          <w:sz w:val="28"/>
          <w:szCs w:val="28"/>
        </w:rPr>
        <w:t>包括</w:t>
      </w:r>
      <w:r>
        <w:rPr>
          <w:rFonts w:ascii="標楷體" w:eastAsia="標楷體" w:hAnsi="標楷體"/>
          <w:kern w:val="0"/>
          <w:sz w:val="28"/>
          <w:szCs w:val="28"/>
          <w:lang w:eastAsia="zh-HK"/>
        </w:rPr>
        <w:t>專案教師）</w:t>
      </w:r>
      <w:r>
        <w:rPr>
          <w:rFonts w:ascii="標楷體" w:eastAsia="標楷體" w:hAnsi="標楷體"/>
          <w:kern w:val="0"/>
          <w:sz w:val="28"/>
          <w:szCs w:val="28"/>
        </w:rPr>
        <w:t>；</w:t>
      </w:r>
      <w:r>
        <w:rPr>
          <w:rFonts w:ascii="標楷體" w:eastAsia="標楷體" w:hAnsi="標楷體"/>
          <w:kern w:val="0"/>
          <w:sz w:val="28"/>
          <w:szCs w:val="28"/>
          <w:lang w:eastAsia="zh-HK"/>
        </w:rPr>
        <w:t>其支用原則如下：</w:t>
      </w:r>
    </w:p>
    <w:p w:rsidR="00BC6FE0" w:rsidRDefault="005439D1">
      <w:pPr>
        <w:pStyle w:val="a5"/>
        <w:widowControl/>
        <w:numPr>
          <w:ilvl w:val="0"/>
          <w:numId w:val="42"/>
        </w:numPr>
        <w:spacing w:line="440" w:lineRule="exact"/>
        <w:ind w:left="1134" w:hanging="567"/>
        <w:rPr>
          <w:rFonts w:ascii="標楷體" w:eastAsia="標楷體" w:hAnsi="標楷體"/>
          <w:sz w:val="28"/>
          <w:szCs w:val="28"/>
        </w:rPr>
      </w:pPr>
      <w:r>
        <w:rPr>
          <w:rFonts w:ascii="標楷體" w:eastAsia="標楷體" w:hAnsi="標楷體"/>
          <w:sz w:val="28"/>
          <w:szCs w:val="28"/>
        </w:rPr>
        <w:t>該項額度僅得支用於計畫期間內第一年新聘專任教師（包括專案教師）；學校採學年度方式之聘任教師，第一年新聘教師追溯至中華民國一百零六年八月起聘之教師。但本計畫經費支用於該新聘教師薪資，應自一百零七年一月起計算，一百零六年八月至十二月之薪資需由學校經費自行支應。</w:t>
      </w:r>
    </w:p>
    <w:p w:rsidR="00BC6FE0" w:rsidRDefault="005439D1">
      <w:pPr>
        <w:pStyle w:val="a5"/>
        <w:widowControl/>
        <w:numPr>
          <w:ilvl w:val="0"/>
          <w:numId w:val="20"/>
        </w:numPr>
        <w:spacing w:line="440" w:lineRule="exact"/>
        <w:ind w:left="1134" w:hanging="567"/>
        <w:rPr>
          <w:rFonts w:ascii="標楷體" w:eastAsia="標楷體" w:hAnsi="標楷體"/>
          <w:sz w:val="28"/>
          <w:szCs w:val="28"/>
        </w:rPr>
      </w:pPr>
      <w:r>
        <w:rPr>
          <w:rFonts w:ascii="標楷體" w:eastAsia="標楷體" w:hAnsi="標楷體"/>
          <w:kern w:val="0"/>
          <w:sz w:val="28"/>
          <w:szCs w:val="28"/>
        </w:rPr>
        <w:t>新聘專任教師（包括專案教師）第二年起至計畫結束前之薪資，得由人事費額度內支應。</w:t>
      </w:r>
    </w:p>
    <w:p w:rsidR="00BC6FE0" w:rsidRDefault="005439D1">
      <w:pPr>
        <w:pStyle w:val="a5"/>
        <w:widowControl/>
        <w:numPr>
          <w:ilvl w:val="0"/>
          <w:numId w:val="20"/>
        </w:numPr>
        <w:spacing w:line="440" w:lineRule="exact"/>
        <w:ind w:left="1134" w:hanging="567"/>
        <w:rPr>
          <w:rFonts w:ascii="標楷體" w:eastAsia="標楷體" w:hAnsi="標楷體"/>
          <w:sz w:val="28"/>
          <w:szCs w:val="28"/>
        </w:rPr>
      </w:pPr>
      <w:r>
        <w:rPr>
          <w:rFonts w:ascii="標楷體" w:eastAsia="標楷體" w:hAnsi="標楷體"/>
          <w:sz w:val="28"/>
          <w:szCs w:val="28"/>
        </w:rPr>
        <w:t>本期計畫結束（中華民國一百十一年十二月）後，新聘專任教師（包括專案教師）之人事費，將回歸各校由學校經費支應；各校應考量少子女化趨勢及生師比結構，建立完善之專任（案）教師聘任之長期規劃及永續機制。</w:t>
      </w:r>
    </w:p>
    <w:p w:rsidR="00BC6FE0" w:rsidRDefault="005439D1">
      <w:pPr>
        <w:pStyle w:val="a5"/>
        <w:widowControl/>
        <w:numPr>
          <w:ilvl w:val="0"/>
          <w:numId w:val="43"/>
        </w:numPr>
        <w:spacing w:line="440" w:lineRule="exact"/>
        <w:ind w:left="680" w:hanging="283"/>
        <w:rPr>
          <w:rFonts w:ascii="標楷體" w:eastAsia="標楷體" w:hAnsi="標楷體"/>
          <w:sz w:val="28"/>
          <w:szCs w:val="28"/>
        </w:rPr>
      </w:pPr>
      <w:r>
        <w:rPr>
          <w:rFonts w:ascii="標楷體" w:eastAsia="標楷體" w:hAnsi="標楷體"/>
          <w:kern w:val="0"/>
          <w:sz w:val="28"/>
          <w:szCs w:val="28"/>
          <w:lang w:eastAsia="zh-HK"/>
        </w:rPr>
        <w:t>學校應自定編制外專案計畫工作人員之薪資，人事費用應包括勞、健保費、勞退基金（離職儲金</w:t>
      </w:r>
      <w:r>
        <w:rPr>
          <w:rFonts w:ascii="標楷體" w:eastAsia="標楷體" w:hAnsi="標楷體"/>
          <w:kern w:val="0"/>
          <w:sz w:val="28"/>
          <w:szCs w:val="28"/>
        </w:rPr>
        <w:t>費用</w:t>
      </w:r>
      <w:r>
        <w:rPr>
          <w:rFonts w:ascii="標楷體" w:eastAsia="標楷體" w:hAnsi="標楷體"/>
          <w:kern w:val="0"/>
          <w:sz w:val="28"/>
          <w:szCs w:val="28"/>
          <w:lang w:eastAsia="zh-HK"/>
        </w:rPr>
        <w:t>）。</w:t>
      </w:r>
    </w:p>
    <w:p w:rsidR="00BC6FE0" w:rsidRDefault="005439D1">
      <w:pPr>
        <w:pStyle w:val="a5"/>
        <w:widowControl/>
        <w:numPr>
          <w:ilvl w:val="0"/>
          <w:numId w:val="30"/>
        </w:numPr>
        <w:spacing w:line="440" w:lineRule="exact"/>
        <w:ind w:left="680" w:hanging="283"/>
        <w:rPr>
          <w:rFonts w:ascii="標楷體" w:eastAsia="標楷體" w:hAnsi="標楷體"/>
          <w:kern w:val="0"/>
          <w:sz w:val="28"/>
          <w:szCs w:val="28"/>
        </w:rPr>
      </w:pPr>
      <w:r>
        <w:rPr>
          <w:rFonts w:ascii="標楷體" w:eastAsia="標楷體" w:hAnsi="標楷體"/>
          <w:kern w:val="0"/>
          <w:sz w:val="28"/>
          <w:szCs w:val="28"/>
        </w:rPr>
        <w:lastRenderedPageBreak/>
        <w:t>學生擔任各計畫兼任助理之相關權益保障，應依專科以上學校獎助生權益保障指導原則、專科以上學校兼任助理勞動權益保障指導原則辦理，其獎助金、薪資、勞健保及勞退基金(離職儲金費用)等經費需求，得由補助經費支應。</w:t>
      </w:r>
    </w:p>
    <w:p w:rsidR="00BC6FE0" w:rsidRDefault="005439D1" w:rsidP="005D2E29">
      <w:pPr>
        <w:pStyle w:val="a5"/>
        <w:widowControl/>
        <w:numPr>
          <w:ilvl w:val="0"/>
          <w:numId w:val="15"/>
        </w:numPr>
        <w:spacing w:line="440" w:lineRule="exact"/>
        <w:ind w:left="680" w:hanging="567"/>
        <w:rPr>
          <w:rFonts w:ascii="標楷體" w:eastAsia="標楷體" w:hAnsi="標楷體"/>
          <w:kern w:val="0"/>
          <w:sz w:val="28"/>
          <w:szCs w:val="28"/>
        </w:rPr>
      </w:pPr>
      <w:r>
        <w:rPr>
          <w:rFonts w:ascii="標楷體" w:eastAsia="標楷體" w:hAnsi="標楷體"/>
          <w:kern w:val="0"/>
          <w:sz w:val="28"/>
          <w:szCs w:val="28"/>
        </w:rPr>
        <w:t>學校依本計畫邀請國外人士短期來臺時，其支給基準得依下列規定之一辦理：</w:t>
      </w:r>
    </w:p>
    <w:p w:rsidR="00BC6FE0" w:rsidRDefault="005439D1">
      <w:pPr>
        <w:pStyle w:val="a5"/>
        <w:widowControl/>
        <w:numPr>
          <w:ilvl w:val="0"/>
          <w:numId w:val="45"/>
        </w:numPr>
        <w:spacing w:line="440" w:lineRule="exact"/>
        <w:ind w:left="680" w:hanging="283"/>
        <w:rPr>
          <w:rFonts w:ascii="標楷體" w:eastAsia="標楷體" w:hAnsi="標楷體"/>
          <w:kern w:val="0"/>
          <w:sz w:val="28"/>
          <w:szCs w:val="28"/>
          <w:lang w:eastAsia="zh-HK"/>
        </w:rPr>
      </w:pPr>
      <w:r>
        <w:rPr>
          <w:rFonts w:ascii="標楷體" w:eastAsia="標楷體" w:hAnsi="標楷體"/>
          <w:kern w:val="0"/>
          <w:sz w:val="28"/>
          <w:szCs w:val="28"/>
          <w:lang w:eastAsia="zh-HK"/>
        </w:rPr>
        <w:t>依行政院各機關聘請國外顧問、專家及學者來臺工作期間支付費用最高標準表、科技部補助延攬客座科技人才作業要點等核支；其報酬已包括酬金及生活費者，不得另外支付演講費、諮詢費、審查費、顧問費及生活費等費用。</w:t>
      </w:r>
    </w:p>
    <w:p w:rsidR="00BC6FE0" w:rsidRDefault="005439D1">
      <w:pPr>
        <w:pStyle w:val="a5"/>
        <w:widowControl/>
        <w:numPr>
          <w:ilvl w:val="0"/>
          <w:numId w:val="21"/>
        </w:numPr>
        <w:spacing w:line="440" w:lineRule="exact"/>
        <w:ind w:left="680" w:hanging="283"/>
        <w:rPr>
          <w:rFonts w:ascii="標楷體" w:eastAsia="標楷體" w:hAnsi="標楷體"/>
          <w:kern w:val="0"/>
          <w:sz w:val="28"/>
          <w:szCs w:val="28"/>
        </w:rPr>
      </w:pPr>
      <w:r>
        <w:rPr>
          <w:rFonts w:ascii="標楷體" w:eastAsia="標楷體" w:hAnsi="標楷體"/>
          <w:kern w:val="0"/>
          <w:sz w:val="28"/>
          <w:szCs w:val="28"/>
        </w:rPr>
        <w:t>依邀請人士（包括學者、專家、技術人員、博士後研究人員等）之學術地位及專業自行另定基準，經完成校內程序後實施；其項目如下：</w:t>
      </w:r>
    </w:p>
    <w:p w:rsidR="00BC6FE0" w:rsidRDefault="005439D1">
      <w:pPr>
        <w:pStyle w:val="a5"/>
        <w:widowControl/>
        <w:spacing w:line="440" w:lineRule="exact"/>
        <w:ind w:left="624"/>
        <w:rPr>
          <w:rFonts w:ascii="標楷體" w:eastAsia="標楷體" w:hAnsi="標楷體"/>
          <w:sz w:val="28"/>
          <w:szCs w:val="28"/>
        </w:rPr>
      </w:pPr>
      <w:r>
        <w:rPr>
          <w:rFonts w:ascii="標楷體" w:eastAsia="標楷體" w:hAnsi="標楷體" w:cs="Times New Roman"/>
          <w:kern w:val="0"/>
          <w:sz w:val="28"/>
          <w:szCs w:val="28"/>
        </w:rPr>
        <w:t>(1)</w:t>
      </w:r>
      <w:r>
        <w:rPr>
          <w:rFonts w:ascii="標楷體" w:eastAsia="標楷體" w:hAnsi="標楷體" w:cs="Times New Roman"/>
          <w:sz w:val="28"/>
          <w:szCs w:val="28"/>
        </w:rPr>
        <w:t>國內外交通費。</w:t>
      </w:r>
    </w:p>
    <w:p w:rsidR="00BC6FE0" w:rsidRDefault="005439D1">
      <w:pPr>
        <w:pStyle w:val="a5"/>
        <w:widowControl/>
        <w:spacing w:line="440" w:lineRule="exact"/>
        <w:ind w:left="624"/>
        <w:rPr>
          <w:rFonts w:ascii="標楷體" w:eastAsia="標楷體" w:hAnsi="標楷體" w:cs="Times New Roman"/>
          <w:sz w:val="28"/>
          <w:szCs w:val="28"/>
        </w:rPr>
      </w:pPr>
      <w:r>
        <w:rPr>
          <w:rFonts w:ascii="標楷體" w:eastAsia="標楷體" w:hAnsi="標楷體" w:cs="Times New Roman"/>
          <w:sz w:val="28"/>
          <w:szCs w:val="28"/>
        </w:rPr>
        <w:t>(2)住宿費。</w:t>
      </w:r>
    </w:p>
    <w:p w:rsidR="00BC6FE0" w:rsidRDefault="005439D1">
      <w:pPr>
        <w:pStyle w:val="a5"/>
        <w:widowControl/>
        <w:spacing w:line="440" w:lineRule="exact"/>
        <w:ind w:left="624"/>
        <w:rPr>
          <w:rFonts w:ascii="標楷體" w:eastAsia="標楷體" w:hAnsi="標楷體" w:cs="Times New Roman"/>
          <w:sz w:val="28"/>
          <w:szCs w:val="28"/>
        </w:rPr>
      </w:pPr>
      <w:r>
        <w:rPr>
          <w:rFonts w:ascii="標楷體" w:eastAsia="標楷體" w:hAnsi="標楷體" w:cs="Times New Roman"/>
          <w:sz w:val="28"/>
          <w:szCs w:val="28"/>
        </w:rPr>
        <w:t>(3)酬金（包括演講費、審查費、諮詢費及顧問費等，依其工作執行項目</w:t>
      </w:r>
    </w:p>
    <w:p w:rsidR="00BC6FE0" w:rsidRDefault="005439D1">
      <w:pPr>
        <w:pStyle w:val="a5"/>
        <w:widowControl/>
        <w:spacing w:line="440" w:lineRule="exact"/>
        <w:ind w:left="1020"/>
        <w:rPr>
          <w:rFonts w:ascii="標楷體" w:eastAsia="標楷體" w:hAnsi="標楷體" w:cs="Times New Roman"/>
          <w:sz w:val="28"/>
          <w:szCs w:val="28"/>
        </w:rPr>
      </w:pPr>
      <w:r>
        <w:rPr>
          <w:rFonts w:ascii="標楷體" w:eastAsia="標楷體" w:hAnsi="標楷體" w:cs="Times New Roman"/>
          <w:sz w:val="28"/>
          <w:szCs w:val="28"/>
        </w:rPr>
        <w:t>核支，以不重覆支付為原則）。</w:t>
      </w:r>
    </w:p>
    <w:p w:rsidR="00BC6FE0" w:rsidRDefault="005439D1">
      <w:pPr>
        <w:pStyle w:val="a5"/>
        <w:widowControl/>
        <w:spacing w:line="440" w:lineRule="exact"/>
        <w:ind w:left="624"/>
        <w:rPr>
          <w:rFonts w:ascii="標楷體" w:eastAsia="標楷體" w:hAnsi="標楷體"/>
          <w:sz w:val="28"/>
          <w:szCs w:val="28"/>
        </w:rPr>
      </w:pPr>
      <w:r>
        <w:rPr>
          <w:rFonts w:ascii="標楷體" w:eastAsia="標楷體" w:hAnsi="標楷體" w:cs="Times New Roman"/>
          <w:sz w:val="28"/>
          <w:szCs w:val="28"/>
        </w:rPr>
        <w:t>(4)保險費</w:t>
      </w:r>
      <w:r>
        <w:rPr>
          <w:rFonts w:ascii="標楷體" w:eastAsia="標楷體" w:hAnsi="標楷體" w:cs="Times New Roman"/>
          <w:kern w:val="0"/>
          <w:sz w:val="28"/>
          <w:szCs w:val="28"/>
        </w:rPr>
        <w:t>。</w:t>
      </w:r>
    </w:p>
    <w:p w:rsidR="00BC6FE0" w:rsidRDefault="005439D1" w:rsidP="005D2E29">
      <w:pPr>
        <w:pStyle w:val="a5"/>
        <w:widowControl/>
        <w:numPr>
          <w:ilvl w:val="0"/>
          <w:numId w:val="15"/>
        </w:numPr>
        <w:spacing w:line="440" w:lineRule="exact"/>
        <w:ind w:left="680" w:hanging="567"/>
        <w:rPr>
          <w:rFonts w:ascii="標楷體" w:eastAsia="標楷體" w:hAnsi="標楷體"/>
          <w:kern w:val="0"/>
          <w:sz w:val="28"/>
          <w:szCs w:val="28"/>
        </w:rPr>
      </w:pPr>
      <w:r>
        <w:rPr>
          <w:rFonts w:ascii="標楷體" w:eastAsia="標楷體" w:hAnsi="標楷體"/>
          <w:kern w:val="0"/>
          <w:sz w:val="28"/>
          <w:szCs w:val="28"/>
        </w:rPr>
        <w:t>國內外出差旅費使用原則：</w:t>
      </w:r>
    </w:p>
    <w:p w:rsidR="00BC6FE0" w:rsidRDefault="005439D1">
      <w:pPr>
        <w:pStyle w:val="a5"/>
        <w:widowControl/>
        <w:numPr>
          <w:ilvl w:val="0"/>
          <w:numId w:val="47"/>
        </w:numPr>
        <w:spacing w:line="440" w:lineRule="exact"/>
        <w:ind w:left="680" w:hanging="283"/>
        <w:rPr>
          <w:rFonts w:ascii="標楷體" w:eastAsia="標楷體" w:hAnsi="標楷體"/>
          <w:kern w:val="0"/>
          <w:sz w:val="28"/>
          <w:szCs w:val="28"/>
          <w:lang w:eastAsia="zh-HK"/>
        </w:rPr>
      </w:pPr>
      <w:r>
        <w:rPr>
          <w:rFonts w:ascii="標楷體" w:eastAsia="標楷體" w:hAnsi="標楷體"/>
          <w:kern w:val="0"/>
          <w:sz w:val="28"/>
          <w:szCs w:val="28"/>
          <w:lang w:eastAsia="zh-HK"/>
        </w:rPr>
        <w:t>依國內出差旅費報支要點支給國內差旅費用。</w:t>
      </w:r>
    </w:p>
    <w:p w:rsidR="00BC6FE0" w:rsidRDefault="005439D1">
      <w:pPr>
        <w:pStyle w:val="a5"/>
        <w:widowControl/>
        <w:numPr>
          <w:ilvl w:val="0"/>
          <w:numId w:val="25"/>
        </w:numPr>
        <w:spacing w:line="440" w:lineRule="exact"/>
        <w:ind w:left="680" w:hanging="283"/>
        <w:rPr>
          <w:rFonts w:ascii="標楷體" w:eastAsia="標楷體" w:hAnsi="標楷體"/>
          <w:sz w:val="28"/>
          <w:szCs w:val="28"/>
        </w:rPr>
      </w:pPr>
      <w:r>
        <w:rPr>
          <w:rFonts w:ascii="標楷體" w:eastAsia="標楷體" w:hAnsi="標楷體"/>
          <w:kern w:val="0"/>
          <w:sz w:val="28"/>
          <w:szCs w:val="28"/>
        </w:rPr>
        <w:t>學生</w:t>
      </w:r>
      <w:r>
        <w:rPr>
          <w:rFonts w:ascii="標楷體" w:eastAsia="標楷體" w:hAnsi="標楷體"/>
          <w:kern w:val="0"/>
          <w:sz w:val="28"/>
          <w:szCs w:val="28"/>
          <w:lang w:eastAsia="zh-HK"/>
        </w:rPr>
        <w:t>出國計畫</w:t>
      </w:r>
      <w:r>
        <w:rPr>
          <w:rFonts w:ascii="標楷體" w:eastAsia="標楷體" w:hAnsi="標楷體"/>
          <w:kern w:val="0"/>
          <w:sz w:val="28"/>
          <w:szCs w:val="28"/>
        </w:rPr>
        <w:t>應</w:t>
      </w:r>
      <w:r>
        <w:rPr>
          <w:rFonts w:ascii="標楷體" w:eastAsia="標楷體" w:hAnsi="標楷體"/>
          <w:kern w:val="0"/>
          <w:sz w:val="28"/>
          <w:szCs w:val="28"/>
          <w:lang w:eastAsia="zh-HK"/>
        </w:rPr>
        <w:t>由學校自行</w:t>
      </w:r>
      <w:r>
        <w:rPr>
          <w:rFonts w:ascii="標楷體" w:eastAsia="標楷體" w:hAnsi="標楷體"/>
          <w:kern w:val="0"/>
          <w:sz w:val="28"/>
          <w:szCs w:val="28"/>
        </w:rPr>
        <w:t>從嚴審核</w:t>
      </w:r>
      <w:r>
        <w:rPr>
          <w:rFonts w:ascii="標楷體" w:eastAsia="標楷體" w:hAnsi="標楷體"/>
          <w:kern w:val="0"/>
          <w:sz w:val="28"/>
          <w:szCs w:val="28"/>
          <w:lang w:eastAsia="zh-HK"/>
        </w:rPr>
        <w:t>，並於</w:t>
      </w:r>
      <w:r>
        <w:rPr>
          <w:rFonts w:ascii="標楷體" w:eastAsia="標楷體" w:hAnsi="標楷體"/>
          <w:kern w:val="0"/>
          <w:sz w:val="28"/>
          <w:szCs w:val="28"/>
        </w:rPr>
        <w:t>經費</w:t>
      </w:r>
      <w:r>
        <w:rPr>
          <w:rFonts w:ascii="標楷體" w:eastAsia="標楷體" w:hAnsi="標楷體"/>
          <w:kern w:val="0"/>
          <w:sz w:val="28"/>
          <w:szCs w:val="28"/>
          <w:lang w:eastAsia="zh-HK"/>
        </w:rPr>
        <w:t>表中編列國外差旅經費，且出國人員應依國外出差旅費報支要點核實報支。出國人員得包</w:t>
      </w:r>
      <w:r>
        <w:rPr>
          <w:rFonts w:ascii="標楷體" w:eastAsia="標楷體" w:hAnsi="標楷體"/>
          <w:kern w:val="0"/>
          <w:sz w:val="28"/>
          <w:szCs w:val="28"/>
        </w:rPr>
        <w:t>括</w:t>
      </w:r>
      <w:r>
        <w:rPr>
          <w:rFonts w:ascii="標楷體" w:eastAsia="標楷體" w:hAnsi="標楷體"/>
          <w:kern w:val="0"/>
          <w:sz w:val="28"/>
          <w:szCs w:val="28"/>
          <w:lang w:eastAsia="zh-HK"/>
        </w:rPr>
        <w:t>執行本計畫相關之教師、行政人員及學生</w:t>
      </w:r>
      <w:r>
        <w:rPr>
          <w:rFonts w:ascii="標楷體" w:eastAsia="標楷體" w:hAnsi="標楷體"/>
          <w:kern w:val="0"/>
          <w:sz w:val="28"/>
          <w:szCs w:val="28"/>
        </w:rPr>
        <w:t>。</w:t>
      </w:r>
    </w:p>
    <w:p w:rsidR="00BC6FE0" w:rsidRDefault="005439D1">
      <w:pPr>
        <w:pStyle w:val="a5"/>
        <w:widowControl/>
        <w:numPr>
          <w:ilvl w:val="0"/>
          <w:numId w:val="25"/>
        </w:numPr>
        <w:spacing w:line="440" w:lineRule="exact"/>
        <w:ind w:left="680" w:hanging="283"/>
        <w:rPr>
          <w:rFonts w:ascii="標楷體" w:eastAsia="標楷體" w:hAnsi="標楷體"/>
          <w:kern w:val="0"/>
          <w:sz w:val="28"/>
          <w:szCs w:val="28"/>
          <w:lang w:eastAsia="zh-HK"/>
        </w:rPr>
      </w:pPr>
      <w:r>
        <w:rPr>
          <w:rFonts w:ascii="標楷體" w:eastAsia="標楷體" w:hAnsi="標楷體"/>
          <w:kern w:val="0"/>
          <w:sz w:val="28"/>
          <w:szCs w:val="28"/>
          <w:lang w:eastAsia="zh-HK"/>
        </w:rPr>
        <w:t>學校所列國外出差旅費預算如有不足，須由年度相關經費項下調整支應時，得在本計畫原編列國外旅費總額百分之十範圍內，由學校核定。</w:t>
      </w:r>
    </w:p>
    <w:p w:rsidR="00BC6FE0" w:rsidRDefault="005439D1" w:rsidP="005D2E29">
      <w:pPr>
        <w:pStyle w:val="a5"/>
        <w:widowControl/>
        <w:numPr>
          <w:ilvl w:val="0"/>
          <w:numId w:val="2"/>
        </w:numPr>
        <w:spacing w:line="440" w:lineRule="exact"/>
        <w:ind w:left="680" w:hanging="567"/>
        <w:rPr>
          <w:rFonts w:ascii="標楷體" w:eastAsia="標楷體" w:hAnsi="標楷體" w:cs="Times New Roman"/>
          <w:kern w:val="0"/>
          <w:sz w:val="28"/>
          <w:szCs w:val="28"/>
        </w:rPr>
      </w:pPr>
      <w:r>
        <w:rPr>
          <w:rFonts w:ascii="標楷體" w:eastAsia="標楷體" w:hAnsi="標楷體" w:cs="Times New Roman"/>
          <w:kern w:val="0"/>
          <w:sz w:val="28"/>
          <w:szCs w:val="28"/>
        </w:rPr>
        <w:t>計畫經費收支處理及查核：</w:t>
      </w:r>
    </w:p>
    <w:p w:rsidR="00BC6FE0" w:rsidRDefault="005439D1">
      <w:pPr>
        <w:pStyle w:val="a5"/>
        <w:widowControl/>
        <w:numPr>
          <w:ilvl w:val="0"/>
          <w:numId w:val="49"/>
        </w:numPr>
        <w:tabs>
          <w:tab w:val="left" w:pos="1247"/>
        </w:tabs>
        <w:spacing w:line="440" w:lineRule="exact"/>
        <w:ind w:left="680" w:hanging="567"/>
        <w:rPr>
          <w:rFonts w:ascii="標楷體" w:eastAsia="標楷體" w:hAnsi="標楷體"/>
          <w:sz w:val="28"/>
          <w:szCs w:val="28"/>
        </w:rPr>
      </w:pPr>
      <w:r>
        <w:rPr>
          <w:rFonts w:ascii="標楷體" w:eastAsia="標楷體" w:hAnsi="標楷體"/>
          <w:kern w:val="0"/>
          <w:sz w:val="28"/>
          <w:szCs w:val="28"/>
        </w:rPr>
        <w:t>本計畫經費依教育部補(捐)助及委辦經費核撥結報作業要點規定，採分年分期撥付方式；必要時，本部得調整撥付期程、延期或停止撥付。</w:t>
      </w:r>
    </w:p>
    <w:p w:rsidR="00BC6FE0" w:rsidRDefault="005439D1">
      <w:pPr>
        <w:pStyle w:val="a5"/>
        <w:widowControl/>
        <w:numPr>
          <w:ilvl w:val="0"/>
          <w:numId w:val="29"/>
        </w:numPr>
        <w:tabs>
          <w:tab w:val="left" w:pos="1247"/>
        </w:tabs>
        <w:spacing w:line="440" w:lineRule="exact"/>
        <w:ind w:left="680" w:hanging="567"/>
        <w:rPr>
          <w:rFonts w:ascii="標楷體" w:eastAsia="標楷體" w:hAnsi="標楷體"/>
          <w:kern w:val="0"/>
          <w:sz w:val="28"/>
          <w:szCs w:val="28"/>
        </w:rPr>
      </w:pPr>
      <w:r>
        <w:rPr>
          <w:rFonts w:ascii="標楷體" w:eastAsia="標楷體" w:hAnsi="標楷體"/>
          <w:kern w:val="0"/>
          <w:sz w:val="28"/>
          <w:szCs w:val="28"/>
        </w:rPr>
        <w:t>學校應以專帳登錄本計畫經費之收支，並不得移作他用；屬跨校性計畫者，則由計畫申請學校(或請撥學校)負責經費收支管理及核結等事宜。</w:t>
      </w:r>
    </w:p>
    <w:p w:rsidR="00BC6FE0" w:rsidRDefault="005439D1">
      <w:pPr>
        <w:pStyle w:val="a5"/>
        <w:widowControl/>
        <w:numPr>
          <w:ilvl w:val="0"/>
          <w:numId w:val="29"/>
        </w:numPr>
        <w:tabs>
          <w:tab w:val="left" w:pos="1247"/>
        </w:tabs>
        <w:spacing w:line="440" w:lineRule="exact"/>
        <w:ind w:left="680" w:hanging="567"/>
        <w:rPr>
          <w:rFonts w:ascii="標楷體" w:eastAsia="標楷體" w:hAnsi="標楷體"/>
          <w:kern w:val="0"/>
          <w:sz w:val="28"/>
          <w:szCs w:val="28"/>
        </w:rPr>
      </w:pPr>
      <w:r>
        <w:rPr>
          <w:rFonts w:ascii="標楷體" w:eastAsia="標楷體" w:hAnsi="標楷體"/>
          <w:kern w:val="0"/>
          <w:sz w:val="28"/>
          <w:szCs w:val="28"/>
        </w:rPr>
        <w:t>學校應依會計法、審計法、政府採購法及會計制度、物品管理手冊等相關規定辦理各項財務、財物處理、物品採購及管控機制。有關所得稅及其他稅賦之扣繳，應由計畫執行學校負責辦理。</w:t>
      </w:r>
    </w:p>
    <w:p w:rsidR="00BC6FE0" w:rsidRDefault="005439D1">
      <w:pPr>
        <w:pStyle w:val="a5"/>
        <w:widowControl/>
        <w:numPr>
          <w:ilvl w:val="0"/>
          <w:numId w:val="29"/>
        </w:numPr>
        <w:tabs>
          <w:tab w:val="left" w:pos="1247"/>
        </w:tabs>
        <w:spacing w:line="440" w:lineRule="exact"/>
        <w:ind w:left="680" w:hanging="567"/>
        <w:rPr>
          <w:rFonts w:ascii="標楷體" w:eastAsia="標楷體" w:hAnsi="標楷體"/>
          <w:kern w:val="0"/>
          <w:sz w:val="28"/>
          <w:szCs w:val="28"/>
        </w:rPr>
      </w:pPr>
      <w:r>
        <w:rPr>
          <w:rFonts w:ascii="標楷體" w:eastAsia="標楷體" w:hAnsi="標楷體"/>
          <w:kern w:val="0"/>
          <w:sz w:val="28"/>
          <w:szCs w:val="28"/>
        </w:rPr>
        <w:t>年度補助經費尚未撥入學校前，屬本部原核定之延續性計畫，得由學校自籌款先行支應計畫所需支出。</w:t>
      </w:r>
    </w:p>
    <w:p w:rsidR="00BC6FE0" w:rsidRDefault="005439D1">
      <w:pPr>
        <w:pStyle w:val="a5"/>
        <w:widowControl/>
        <w:numPr>
          <w:ilvl w:val="0"/>
          <w:numId w:val="29"/>
        </w:numPr>
        <w:tabs>
          <w:tab w:val="left" w:pos="1247"/>
        </w:tabs>
        <w:spacing w:line="440" w:lineRule="exact"/>
        <w:ind w:left="680" w:hanging="567"/>
        <w:rPr>
          <w:rFonts w:ascii="標楷體" w:eastAsia="標楷體" w:hAnsi="標楷體"/>
          <w:sz w:val="28"/>
          <w:szCs w:val="28"/>
        </w:rPr>
      </w:pPr>
      <w:r>
        <w:rPr>
          <w:rFonts w:ascii="標楷體" w:eastAsia="標楷體" w:hAnsi="標楷體"/>
          <w:kern w:val="0"/>
          <w:sz w:val="28"/>
          <w:szCs w:val="28"/>
        </w:rPr>
        <w:t>國立學校應循作業基金預算程序納編已核定之計畫經費；因作業不及致無法納編時，有關購建固定資產部分，應在當年度基金預算總額內調整容納，經</w:t>
      </w:r>
      <w:r>
        <w:rPr>
          <w:rFonts w:ascii="標楷體" w:eastAsia="標楷體" w:hAnsi="標楷體"/>
          <w:kern w:val="0"/>
          <w:sz w:val="28"/>
          <w:szCs w:val="28"/>
        </w:rPr>
        <w:lastRenderedPageBreak/>
        <w:t>檢討確實無法調整容納時，始得依中央政府附屬單位預算執行要點規定補辦預算。經常門部分，併決算辦理。</w:t>
      </w:r>
    </w:p>
    <w:p w:rsidR="00BC6FE0" w:rsidRDefault="005439D1">
      <w:pPr>
        <w:pStyle w:val="a5"/>
        <w:widowControl/>
        <w:numPr>
          <w:ilvl w:val="0"/>
          <w:numId w:val="29"/>
        </w:numPr>
        <w:tabs>
          <w:tab w:val="left" w:pos="1247"/>
        </w:tabs>
        <w:spacing w:line="440" w:lineRule="exact"/>
        <w:ind w:left="680" w:hanging="567"/>
        <w:rPr>
          <w:rFonts w:ascii="標楷體" w:eastAsia="標楷體" w:hAnsi="標楷體"/>
          <w:kern w:val="0"/>
          <w:sz w:val="28"/>
          <w:szCs w:val="28"/>
        </w:rPr>
      </w:pPr>
      <w:r>
        <w:rPr>
          <w:rFonts w:ascii="標楷體" w:eastAsia="標楷體" w:hAnsi="標楷體"/>
          <w:kern w:val="0"/>
          <w:sz w:val="28"/>
          <w:szCs w:val="28"/>
        </w:rPr>
        <w:t>實施校務基金之國立學校辦理本計畫之入帳方式，其中經常門補助部分以其他補助收入列帳，經常支出併決算辦理；資本門補助部分則以基金列帳。</w:t>
      </w:r>
    </w:p>
    <w:p w:rsidR="00BC6FE0" w:rsidRDefault="005439D1">
      <w:pPr>
        <w:pStyle w:val="a5"/>
        <w:widowControl/>
        <w:numPr>
          <w:ilvl w:val="0"/>
          <w:numId w:val="29"/>
        </w:numPr>
        <w:tabs>
          <w:tab w:val="left" w:pos="1247"/>
        </w:tabs>
        <w:spacing w:line="440" w:lineRule="exact"/>
        <w:ind w:left="680" w:hanging="567"/>
        <w:rPr>
          <w:rFonts w:ascii="標楷體" w:eastAsia="標楷體" w:hAnsi="標楷體"/>
          <w:kern w:val="0"/>
          <w:sz w:val="28"/>
          <w:szCs w:val="28"/>
        </w:rPr>
      </w:pPr>
      <w:r>
        <w:rPr>
          <w:rFonts w:ascii="標楷體" w:eastAsia="標楷體" w:hAnsi="標楷體"/>
          <w:kern w:val="0"/>
          <w:sz w:val="28"/>
          <w:szCs w:val="28"/>
        </w:rPr>
        <w:t>經費請撥及核結：</w:t>
      </w:r>
    </w:p>
    <w:p w:rsidR="00BC6FE0" w:rsidRDefault="005439D1">
      <w:pPr>
        <w:pStyle w:val="a5"/>
        <w:widowControl/>
        <w:numPr>
          <w:ilvl w:val="1"/>
          <w:numId w:val="26"/>
        </w:numPr>
        <w:spacing w:line="440" w:lineRule="exact"/>
        <w:ind w:left="680" w:hanging="283"/>
        <w:rPr>
          <w:rFonts w:ascii="標楷體" w:eastAsia="標楷體" w:hAnsi="標楷體"/>
          <w:sz w:val="28"/>
          <w:szCs w:val="28"/>
        </w:rPr>
      </w:pPr>
      <w:r>
        <w:rPr>
          <w:rFonts w:ascii="標楷體" w:eastAsia="標楷體" w:hAnsi="標楷體"/>
          <w:kern w:val="0"/>
          <w:sz w:val="28"/>
          <w:szCs w:val="28"/>
          <w:lang w:eastAsia="zh-HK"/>
        </w:rPr>
        <w:t>依</w:t>
      </w:r>
      <w:r>
        <w:rPr>
          <w:rFonts w:ascii="標楷體" w:eastAsia="標楷體" w:hAnsi="標楷體"/>
          <w:kern w:val="0"/>
          <w:sz w:val="28"/>
          <w:szCs w:val="28"/>
        </w:rPr>
        <w:t>教育</w:t>
      </w:r>
      <w:r>
        <w:rPr>
          <w:rFonts w:ascii="標楷體" w:eastAsia="標楷體" w:hAnsi="標楷體"/>
          <w:kern w:val="0"/>
          <w:sz w:val="28"/>
          <w:szCs w:val="28"/>
          <w:lang w:eastAsia="zh-HK"/>
        </w:rPr>
        <w:t>部補</w:t>
      </w:r>
      <w:r>
        <w:rPr>
          <w:rFonts w:ascii="標楷體" w:eastAsia="標楷體" w:hAnsi="標楷體"/>
          <w:kern w:val="0"/>
          <w:sz w:val="28"/>
          <w:szCs w:val="28"/>
        </w:rPr>
        <w:t>(捐)</w:t>
      </w:r>
      <w:r>
        <w:rPr>
          <w:rFonts w:ascii="標楷體" w:eastAsia="標楷體" w:hAnsi="標楷體"/>
          <w:kern w:val="0"/>
          <w:sz w:val="28"/>
          <w:szCs w:val="28"/>
          <w:lang w:eastAsia="zh-HK"/>
        </w:rPr>
        <w:t>助及委辦經費核撥結報作業要點辦理。</w:t>
      </w:r>
    </w:p>
    <w:p w:rsidR="00BC6FE0" w:rsidRDefault="005439D1">
      <w:pPr>
        <w:pStyle w:val="a5"/>
        <w:widowControl/>
        <w:numPr>
          <w:ilvl w:val="1"/>
          <w:numId w:val="26"/>
        </w:numPr>
        <w:spacing w:line="440" w:lineRule="exact"/>
        <w:ind w:left="680" w:hanging="283"/>
        <w:rPr>
          <w:rFonts w:ascii="標楷體" w:eastAsia="標楷體" w:hAnsi="標楷體"/>
          <w:kern w:val="0"/>
          <w:sz w:val="28"/>
          <w:szCs w:val="28"/>
        </w:rPr>
      </w:pPr>
      <w:r>
        <w:rPr>
          <w:rFonts w:ascii="標楷體" w:eastAsia="標楷體" w:hAnsi="標楷體"/>
          <w:kern w:val="0"/>
          <w:sz w:val="28"/>
          <w:szCs w:val="28"/>
        </w:rPr>
        <w:t>學校應將每年度原始憑證分類整理並裝訂成冊留校備查，並於計畫結束後二個月內或教育部指定期間內將成果報告及經費收支報告表送部辦理核結。</w:t>
      </w:r>
    </w:p>
    <w:p w:rsidR="00BC6FE0" w:rsidRDefault="005439D1">
      <w:pPr>
        <w:pStyle w:val="a5"/>
        <w:widowControl/>
        <w:numPr>
          <w:ilvl w:val="1"/>
          <w:numId w:val="26"/>
        </w:numPr>
        <w:spacing w:line="440" w:lineRule="exact"/>
        <w:ind w:left="680" w:hanging="283"/>
        <w:rPr>
          <w:rFonts w:ascii="標楷體" w:eastAsia="標楷體" w:hAnsi="標楷體"/>
          <w:kern w:val="0"/>
          <w:sz w:val="28"/>
          <w:szCs w:val="28"/>
        </w:rPr>
      </w:pPr>
      <w:r>
        <w:rPr>
          <w:rFonts w:ascii="標楷體" w:eastAsia="標楷體" w:hAnsi="標楷體"/>
          <w:kern w:val="0"/>
          <w:sz w:val="28"/>
          <w:szCs w:val="28"/>
        </w:rPr>
        <w:t>有關跨校執行之計畫，其經費報支、支出憑證及經費收支報告表應由各執行學校分別審核（填報）後送總計畫執行學校。但各分項計畫經費係由總計畫執行學校(或請撥學校)統一撥付及核結者，支出憑證及經費收支報告表得由總計畫執行學校(或請撥學校)統一審核（填報）後將收支報告表報本部。</w:t>
      </w:r>
    </w:p>
    <w:p w:rsidR="00BC6FE0" w:rsidRDefault="005439D1">
      <w:pPr>
        <w:pStyle w:val="a5"/>
        <w:widowControl/>
        <w:numPr>
          <w:ilvl w:val="1"/>
          <w:numId w:val="26"/>
        </w:numPr>
        <w:spacing w:line="440" w:lineRule="exact"/>
        <w:ind w:left="680" w:hanging="283"/>
        <w:rPr>
          <w:rFonts w:ascii="標楷體" w:eastAsia="標楷體" w:hAnsi="標楷體"/>
          <w:sz w:val="28"/>
          <w:szCs w:val="28"/>
        </w:rPr>
      </w:pPr>
      <w:r>
        <w:rPr>
          <w:rFonts w:ascii="標楷體" w:eastAsia="標楷體" w:hAnsi="標楷體"/>
          <w:kern w:val="0"/>
          <w:sz w:val="28"/>
          <w:szCs w:val="28"/>
        </w:rPr>
        <w:t>學校執行本計畫預算，除「提升高教公共性</w:t>
      </w:r>
      <w:r>
        <w:rPr>
          <w:rFonts w:ascii="標楷體" w:eastAsia="標楷體" w:hAnsi="標楷體" w:cs="Times New Roman"/>
          <w:kern w:val="0"/>
          <w:sz w:val="28"/>
          <w:szCs w:val="28"/>
        </w:rPr>
        <w:t>：</w:t>
      </w:r>
      <w:r>
        <w:rPr>
          <w:rFonts w:ascii="標楷體" w:eastAsia="標楷體" w:hAnsi="標楷體"/>
          <w:kern w:val="0"/>
          <w:sz w:val="28"/>
          <w:szCs w:val="28"/>
        </w:rPr>
        <w:t>完善就學協助機制」外，於每年度終了，已執行而未能執行完竣者、或已發生尚未清償之債務或契約責任之經費得辦理經費滾存納入下年度本計畫經費支應(公立學校年度剩餘款不得納入校務基金)，經費滾存用途別應一致，不得流用。計畫經費結餘款，均應依補助比率繳回。</w:t>
      </w:r>
    </w:p>
    <w:p w:rsidR="00BC6FE0" w:rsidRDefault="005439D1" w:rsidP="005D2E29">
      <w:pPr>
        <w:pStyle w:val="a5"/>
        <w:widowControl/>
        <w:numPr>
          <w:ilvl w:val="0"/>
          <w:numId w:val="29"/>
        </w:numPr>
        <w:tabs>
          <w:tab w:val="left" w:pos="1247"/>
        </w:tabs>
        <w:spacing w:line="440" w:lineRule="exact"/>
        <w:ind w:left="680" w:hanging="567"/>
        <w:rPr>
          <w:rFonts w:ascii="標楷體" w:eastAsia="標楷體" w:hAnsi="標楷體"/>
          <w:kern w:val="0"/>
          <w:sz w:val="28"/>
          <w:szCs w:val="28"/>
        </w:rPr>
      </w:pPr>
      <w:r>
        <w:rPr>
          <w:rFonts w:ascii="標楷體" w:eastAsia="標楷體" w:hAnsi="標楷體"/>
          <w:kern w:val="0"/>
          <w:sz w:val="28"/>
          <w:szCs w:val="28"/>
        </w:rPr>
        <w:t>計畫所屬財物之歸屬及保管：</w:t>
      </w:r>
    </w:p>
    <w:p w:rsidR="00BC6FE0" w:rsidRDefault="005439D1">
      <w:pPr>
        <w:pStyle w:val="a5"/>
        <w:widowControl/>
        <w:numPr>
          <w:ilvl w:val="1"/>
          <w:numId w:val="27"/>
        </w:numPr>
        <w:spacing w:line="440" w:lineRule="exact"/>
        <w:ind w:left="680" w:hanging="283"/>
        <w:rPr>
          <w:rFonts w:ascii="標楷體" w:eastAsia="標楷體" w:hAnsi="標楷體"/>
          <w:sz w:val="28"/>
          <w:szCs w:val="28"/>
        </w:rPr>
      </w:pPr>
      <w:r>
        <w:rPr>
          <w:rFonts w:ascii="標楷體" w:eastAsia="標楷體" w:hAnsi="標楷體"/>
          <w:kern w:val="0"/>
          <w:sz w:val="28"/>
          <w:szCs w:val="28"/>
          <w:lang w:eastAsia="zh-HK"/>
        </w:rPr>
        <w:t>學校固定資產之</w:t>
      </w:r>
      <w:r>
        <w:rPr>
          <w:rFonts w:ascii="標楷體" w:eastAsia="標楷體" w:hAnsi="標楷體"/>
          <w:kern w:val="0"/>
          <w:sz w:val="28"/>
          <w:szCs w:val="28"/>
        </w:rPr>
        <w:t>增</w:t>
      </w:r>
      <w:r>
        <w:rPr>
          <w:rFonts w:ascii="標楷體" w:eastAsia="標楷體" w:hAnsi="標楷體"/>
          <w:kern w:val="0"/>
          <w:sz w:val="28"/>
          <w:szCs w:val="28"/>
          <w:lang w:eastAsia="zh-HK"/>
        </w:rPr>
        <w:t>置，應由學校財產管理人員驗收蓋章，列入財產目錄。</w:t>
      </w:r>
    </w:p>
    <w:p w:rsidR="00BC6FE0" w:rsidRDefault="005439D1">
      <w:pPr>
        <w:pStyle w:val="a5"/>
        <w:widowControl/>
        <w:numPr>
          <w:ilvl w:val="1"/>
          <w:numId w:val="27"/>
        </w:numPr>
        <w:spacing w:line="440" w:lineRule="exact"/>
        <w:ind w:left="680" w:hanging="283"/>
        <w:rPr>
          <w:rFonts w:ascii="標楷體" w:eastAsia="標楷體" w:hAnsi="標楷體"/>
          <w:sz w:val="28"/>
          <w:szCs w:val="28"/>
        </w:rPr>
      </w:pPr>
      <w:r>
        <w:rPr>
          <w:rFonts w:ascii="標楷體" w:eastAsia="標楷體" w:hAnsi="標楷體"/>
          <w:kern w:val="0"/>
          <w:sz w:val="28"/>
          <w:szCs w:val="28"/>
          <w:lang w:eastAsia="zh-HK"/>
        </w:rPr>
        <w:t>使用</w:t>
      </w:r>
      <w:r>
        <w:rPr>
          <w:rFonts w:ascii="標楷體" w:eastAsia="標楷體" w:hAnsi="標楷體"/>
          <w:kern w:val="0"/>
          <w:sz w:val="28"/>
          <w:szCs w:val="28"/>
        </w:rPr>
        <w:t>教育</w:t>
      </w:r>
      <w:r>
        <w:rPr>
          <w:rFonts w:ascii="標楷體" w:eastAsia="標楷體" w:hAnsi="標楷體"/>
          <w:kern w:val="0"/>
          <w:sz w:val="28"/>
          <w:szCs w:val="28"/>
          <w:lang w:eastAsia="zh-HK"/>
        </w:rPr>
        <w:t>部補助經費購買之財產應納入財產管理系統</w:t>
      </w:r>
      <w:r>
        <w:rPr>
          <w:rFonts w:ascii="標楷體" w:eastAsia="標楷體" w:hAnsi="標楷體"/>
          <w:kern w:val="0"/>
          <w:sz w:val="28"/>
          <w:szCs w:val="28"/>
        </w:rPr>
        <w:t>，</w:t>
      </w:r>
      <w:r>
        <w:rPr>
          <w:rFonts w:ascii="標楷體" w:eastAsia="標楷體" w:hAnsi="標楷體"/>
          <w:kern w:val="0"/>
          <w:sz w:val="28"/>
          <w:szCs w:val="28"/>
          <w:lang w:eastAsia="zh-HK"/>
        </w:rPr>
        <w:t>財產之使用報</w:t>
      </w:r>
      <w:r>
        <w:rPr>
          <w:rFonts w:ascii="標楷體" w:eastAsia="標楷體" w:hAnsi="標楷體"/>
          <w:kern w:val="0"/>
          <w:sz w:val="28"/>
          <w:szCs w:val="28"/>
        </w:rPr>
        <w:t>廢</w:t>
      </w:r>
      <w:r>
        <w:rPr>
          <w:rFonts w:ascii="標楷體" w:eastAsia="標楷體" w:hAnsi="標楷體"/>
          <w:kern w:val="0"/>
          <w:sz w:val="28"/>
          <w:szCs w:val="28"/>
          <w:lang w:eastAsia="zh-HK"/>
        </w:rPr>
        <w:t>應依相關規定辦理，並將相關資料登錄備查。</w:t>
      </w:r>
    </w:p>
    <w:p w:rsidR="00BC6FE0" w:rsidRDefault="005439D1" w:rsidP="005D2E29">
      <w:pPr>
        <w:pStyle w:val="a5"/>
        <w:widowControl/>
        <w:numPr>
          <w:ilvl w:val="0"/>
          <w:numId w:val="29"/>
        </w:numPr>
        <w:spacing w:line="440" w:lineRule="exact"/>
        <w:ind w:left="680" w:hanging="567"/>
        <w:rPr>
          <w:rFonts w:ascii="標楷體" w:eastAsia="標楷體" w:hAnsi="標楷體"/>
          <w:kern w:val="0"/>
          <w:sz w:val="28"/>
          <w:szCs w:val="28"/>
        </w:rPr>
      </w:pPr>
      <w:r>
        <w:rPr>
          <w:rFonts w:ascii="標楷體" w:eastAsia="標楷體" w:hAnsi="標楷體"/>
          <w:kern w:val="0"/>
          <w:sz w:val="28"/>
          <w:szCs w:val="28"/>
        </w:rPr>
        <w:t>經費查核及管考：</w:t>
      </w:r>
    </w:p>
    <w:p w:rsidR="00BC6FE0" w:rsidRDefault="005439D1">
      <w:pPr>
        <w:pStyle w:val="a5"/>
        <w:widowControl/>
        <w:numPr>
          <w:ilvl w:val="1"/>
          <w:numId w:val="28"/>
        </w:numPr>
        <w:spacing w:line="440" w:lineRule="exact"/>
        <w:ind w:left="680" w:hanging="283"/>
        <w:rPr>
          <w:rFonts w:ascii="標楷體" w:eastAsia="標楷體" w:hAnsi="標楷體"/>
          <w:sz w:val="28"/>
          <w:szCs w:val="28"/>
        </w:rPr>
      </w:pPr>
      <w:r>
        <w:rPr>
          <w:rFonts w:ascii="標楷體" w:eastAsia="標楷體" w:hAnsi="標楷體"/>
          <w:kern w:val="0"/>
          <w:sz w:val="28"/>
          <w:szCs w:val="28"/>
          <w:lang w:eastAsia="zh-HK"/>
        </w:rPr>
        <w:t>學校經複審通過並核定經費後，應依相關審查意見及核定經費額度修正計畫書據以執行，並將修正後之計畫書函報</w:t>
      </w:r>
      <w:r>
        <w:rPr>
          <w:rFonts w:ascii="標楷體" w:eastAsia="標楷體" w:hAnsi="標楷體"/>
          <w:kern w:val="0"/>
          <w:sz w:val="28"/>
          <w:szCs w:val="28"/>
        </w:rPr>
        <w:t>教育</w:t>
      </w:r>
      <w:r>
        <w:rPr>
          <w:rFonts w:ascii="標楷體" w:eastAsia="標楷體" w:hAnsi="標楷體"/>
          <w:kern w:val="0"/>
          <w:sz w:val="28"/>
          <w:szCs w:val="28"/>
          <w:lang w:eastAsia="zh-HK"/>
        </w:rPr>
        <w:t>部</w:t>
      </w:r>
      <w:r>
        <w:rPr>
          <w:rFonts w:ascii="標楷體" w:eastAsia="標楷體" w:hAnsi="標楷體"/>
          <w:kern w:val="0"/>
          <w:sz w:val="28"/>
          <w:szCs w:val="28"/>
        </w:rPr>
        <w:t>，</w:t>
      </w:r>
      <w:r>
        <w:rPr>
          <w:rFonts w:ascii="標楷體" w:eastAsia="標楷體" w:hAnsi="標楷體"/>
          <w:kern w:val="0"/>
          <w:sz w:val="28"/>
          <w:szCs w:val="28"/>
          <w:lang w:eastAsia="zh-HK"/>
        </w:rPr>
        <w:t>作為未來管考之依據。</w:t>
      </w:r>
    </w:p>
    <w:p w:rsidR="00BC6FE0" w:rsidRDefault="005439D1">
      <w:pPr>
        <w:pStyle w:val="a5"/>
        <w:widowControl/>
        <w:numPr>
          <w:ilvl w:val="1"/>
          <w:numId w:val="28"/>
        </w:numPr>
        <w:spacing w:line="440" w:lineRule="exact"/>
        <w:ind w:left="680" w:hanging="283"/>
        <w:rPr>
          <w:rFonts w:ascii="標楷體" w:eastAsia="標楷體" w:hAnsi="標楷體"/>
          <w:sz w:val="28"/>
          <w:szCs w:val="28"/>
        </w:rPr>
      </w:pPr>
      <w:r>
        <w:rPr>
          <w:rFonts w:ascii="標楷體" w:eastAsia="標楷體" w:hAnsi="標楷體"/>
          <w:kern w:val="0"/>
          <w:sz w:val="28"/>
          <w:szCs w:val="28"/>
          <w:lang w:eastAsia="zh-HK"/>
        </w:rPr>
        <w:t>學校應於每年依實際執行情形詳填本計畫經費</w:t>
      </w:r>
      <w:r>
        <w:rPr>
          <w:rFonts w:ascii="標楷體" w:eastAsia="標楷體" w:hAnsi="標楷體"/>
          <w:kern w:val="0"/>
          <w:sz w:val="28"/>
          <w:szCs w:val="28"/>
        </w:rPr>
        <w:t>執行情形表，</w:t>
      </w:r>
      <w:r>
        <w:rPr>
          <w:rFonts w:ascii="標楷體" w:eastAsia="標楷體" w:hAnsi="標楷體"/>
          <w:kern w:val="0"/>
          <w:sz w:val="28"/>
          <w:szCs w:val="28"/>
          <w:lang w:eastAsia="zh-HK"/>
        </w:rPr>
        <w:t>用印後送</w:t>
      </w:r>
      <w:r>
        <w:rPr>
          <w:rFonts w:ascii="標楷體" w:eastAsia="標楷體" w:hAnsi="標楷體"/>
          <w:kern w:val="0"/>
          <w:sz w:val="28"/>
          <w:szCs w:val="28"/>
        </w:rPr>
        <w:t>教育</w:t>
      </w:r>
      <w:r>
        <w:rPr>
          <w:rFonts w:ascii="標楷體" w:eastAsia="標楷體" w:hAnsi="標楷體"/>
          <w:kern w:val="0"/>
          <w:sz w:val="28"/>
          <w:szCs w:val="28"/>
          <w:lang w:eastAsia="zh-HK"/>
        </w:rPr>
        <w:t>部，俾列管執行進度。</w:t>
      </w:r>
    </w:p>
    <w:p w:rsidR="00BC6FE0" w:rsidRDefault="005439D1">
      <w:pPr>
        <w:pStyle w:val="a5"/>
        <w:widowControl/>
        <w:numPr>
          <w:ilvl w:val="1"/>
          <w:numId w:val="28"/>
        </w:numPr>
        <w:spacing w:line="440" w:lineRule="exact"/>
        <w:ind w:left="680" w:hanging="283"/>
        <w:rPr>
          <w:rFonts w:ascii="標楷體" w:eastAsia="標楷體" w:hAnsi="標楷體"/>
          <w:sz w:val="28"/>
          <w:szCs w:val="28"/>
        </w:rPr>
      </w:pPr>
      <w:r>
        <w:rPr>
          <w:rFonts w:ascii="標楷體" w:eastAsia="標楷體" w:hAnsi="標楷體"/>
          <w:kern w:val="0"/>
          <w:sz w:val="28"/>
          <w:szCs w:val="28"/>
        </w:rPr>
        <w:t>本計畫執行過程中，教育部得隨時派員查核進度及帳目，發現有虛報計畫執行進度，致補助經費溢撥時，得要求學校繳回溢撥經費；經教育部刪減或剔除之項目，學校未改進或辦理時，教育部得要求學校更換計畫主持人、停（減）撥經費或終止補助。</w:t>
      </w:r>
    </w:p>
    <w:p w:rsidR="00BC6FE0" w:rsidRDefault="005439D1">
      <w:pPr>
        <w:pStyle w:val="a5"/>
        <w:widowControl/>
        <w:numPr>
          <w:ilvl w:val="1"/>
          <w:numId w:val="28"/>
        </w:numPr>
        <w:spacing w:line="440" w:lineRule="exact"/>
        <w:ind w:left="680" w:hanging="283"/>
        <w:rPr>
          <w:rFonts w:ascii="標楷體" w:eastAsia="標楷體" w:hAnsi="標楷體"/>
          <w:kern w:val="0"/>
          <w:sz w:val="28"/>
          <w:szCs w:val="28"/>
        </w:rPr>
      </w:pPr>
      <w:r>
        <w:rPr>
          <w:rFonts w:ascii="標楷體" w:eastAsia="標楷體" w:hAnsi="標楷體"/>
          <w:kern w:val="0"/>
          <w:sz w:val="28"/>
          <w:szCs w:val="28"/>
        </w:rPr>
        <w:t>各項經費有不符規定或不實之支出時，學校所列支之費用不予核結且追繳外，並應負相關責任；教育部得酌予刪減、停撥次年度之經費補助或終止補助。</w:t>
      </w:r>
    </w:p>
    <w:p w:rsidR="00BC6FE0" w:rsidRDefault="005439D1">
      <w:pPr>
        <w:pStyle w:val="a5"/>
        <w:widowControl/>
        <w:numPr>
          <w:ilvl w:val="1"/>
          <w:numId w:val="28"/>
        </w:numPr>
        <w:spacing w:line="440" w:lineRule="exact"/>
        <w:ind w:left="680" w:hanging="283"/>
        <w:rPr>
          <w:rFonts w:ascii="標楷體" w:eastAsia="標楷體" w:hAnsi="標楷體"/>
          <w:sz w:val="28"/>
          <w:szCs w:val="28"/>
        </w:rPr>
      </w:pPr>
      <w:r>
        <w:rPr>
          <w:rFonts w:ascii="標楷體" w:eastAsia="標楷體" w:hAnsi="標楷體"/>
          <w:kern w:val="0"/>
          <w:sz w:val="28"/>
          <w:szCs w:val="28"/>
        </w:rPr>
        <w:lastRenderedPageBreak/>
        <w:t>未依規定提報資料或提報資料錯誤者，教育部得酌予刪減、停撥次年度之經費補助或終止補助。</w:t>
      </w:r>
    </w:p>
    <w:p w:rsidR="00BC6FE0" w:rsidRDefault="005439D1">
      <w:pPr>
        <w:pStyle w:val="a5"/>
        <w:widowControl/>
        <w:numPr>
          <w:ilvl w:val="1"/>
          <w:numId w:val="28"/>
        </w:numPr>
        <w:spacing w:line="440" w:lineRule="exact"/>
        <w:ind w:left="680" w:hanging="283"/>
        <w:rPr>
          <w:rFonts w:ascii="標楷體" w:eastAsia="標楷體" w:hAnsi="標楷體"/>
          <w:sz w:val="28"/>
          <w:szCs w:val="28"/>
        </w:rPr>
      </w:pPr>
      <w:r>
        <w:rPr>
          <w:rFonts w:ascii="標楷體" w:eastAsia="標楷體" w:hAnsi="標楷體"/>
          <w:kern w:val="0"/>
          <w:sz w:val="28"/>
          <w:szCs w:val="28"/>
        </w:rPr>
        <w:t>教育部將依計畫所訂考核期程及機制進行考核；年度考核結果，將作為調整次年度經費核配之參考依據。</w:t>
      </w:r>
    </w:p>
    <w:p w:rsidR="00BC6FE0" w:rsidRDefault="005439D1">
      <w:pPr>
        <w:pStyle w:val="a5"/>
        <w:widowControl/>
        <w:numPr>
          <w:ilvl w:val="1"/>
          <w:numId w:val="28"/>
        </w:numPr>
        <w:spacing w:line="440" w:lineRule="exact"/>
        <w:ind w:left="680" w:hanging="283"/>
        <w:rPr>
          <w:rFonts w:ascii="標楷體" w:eastAsia="標楷體" w:hAnsi="標楷體"/>
          <w:sz w:val="28"/>
          <w:szCs w:val="28"/>
        </w:rPr>
      </w:pPr>
      <w:r>
        <w:rPr>
          <w:rFonts w:ascii="標楷體" w:eastAsia="標楷體" w:hAnsi="標楷體"/>
          <w:kern w:val="0"/>
          <w:sz w:val="28"/>
          <w:szCs w:val="28"/>
        </w:rPr>
        <w:t>教育部得視學校計畫執行情形、辦學品質及相關專案查核結果，酌予調整、刪減或停撥補助經費。</w:t>
      </w:r>
    </w:p>
    <w:p w:rsidR="00BC6FE0" w:rsidRDefault="005439D1">
      <w:pPr>
        <w:pStyle w:val="a5"/>
        <w:widowControl/>
        <w:numPr>
          <w:ilvl w:val="1"/>
          <w:numId w:val="28"/>
        </w:numPr>
        <w:spacing w:line="440" w:lineRule="exact"/>
        <w:ind w:left="680" w:hanging="283"/>
        <w:rPr>
          <w:rFonts w:ascii="標楷體" w:eastAsia="標楷體" w:hAnsi="標楷體"/>
          <w:sz w:val="28"/>
          <w:szCs w:val="28"/>
        </w:rPr>
      </w:pPr>
      <w:r>
        <w:rPr>
          <w:rFonts w:ascii="標楷體" w:eastAsia="標楷體" w:hAnsi="標楷體"/>
          <w:kern w:val="0"/>
          <w:sz w:val="28"/>
          <w:szCs w:val="28"/>
        </w:rPr>
        <w:t>學校執行本計畫年度經費之執行率應達百分之八十以上，並作為考評項目之一。經費使用率未達規定且未敘明合理原因者，教育部得酌予刪減次年度之經費補助。</w:t>
      </w:r>
    </w:p>
    <w:p w:rsidR="00BC6FE0" w:rsidRDefault="005439D1" w:rsidP="005D2E29">
      <w:pPr>
        <w:pStyle w:val="a5"/>
        <w:widowControl/>
        <w:numPr>
          <w:ilvl w:val="0"/>
          <w:numId w:val="2"/>
        </w:numPr>
        <w:spacing w:line="440" w:lineRule="exact"/>
        <w:ind w:left="709" w:hanging="567"/>
        <w:rPr>
          <w:rFonts w:ascii="標楷體" w:eastAsia="標楷體" w:hAnsi="標楷體"/>
          <w:sz w:val="28"/>
          <w:szCs w:val="28"/>
        </w:rPr>
      </w:pPr>
      <w:bookmarkStart w:id="0" w:name="_GoBack"/>
      <w:bookmarkEnd w:id="0"/>
      <w:r>
        <w:rPr>
          <w:rFonts w:ascii="標楷體" w:eastAsia="標楷體" w:hAnsi="標楷體"/>
          <w:kern w:val="0"/>
          <w:sz w:val="28"/>
          <w:szCs w:val="28"/>
        </w:rPr>
        <w:t>本計畫經費之請撥、支用及核結作業，應依本原則執行；如有未盡事宜，得依各子計畫經費支用注意事項及相關規定或教育部補(捐)助及委辦經費核撥結報作業要點、科技部補助專題研究計畫作業要點、補助專題研究計畫經費處理原則及其他相關規定辦理。</w:t>
      </w:r>
    </w:p>
    <w:sectPr w:rsidR="00BC6FE0">
      <w:footerReference w:type="default" r:id="rId7"/>
      <w:pgSz w:w="11906" w:h="16838"/>
      <w:pgMar w:top="567" w:right="964" w:bottom="1049" w:left="964" w:header="720"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718" w:rsidRDefault="00A13718">
      <w:r>
        <w:separator/>
      </w:r>
    </w:p>
  </w:endnote>
  <w:endnote w:type="continuationSeparator" w:id="0">
    <w:p w:rsidR="00A13718" w:rsidRDefault="00A1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E0B" w:rsidRDefault="005439D1">
    <w:pPr>
      <w:pStyle w:val="a7"/>
      <w:jc w:val="center"/>
    </w:pPr>
    <w:r>
      <w:fldChar w:fldCharType="begin"/>
    </w:r>
    <w:r>
      <w:instrText xml:space="preserve"> PAGE </w:instrText>
    </w:r>
    <w:r>
      <w:fldChar w:fldCharType="separate"/>
    </w:r>
    <w:r w:rsidR="005D2E29">
      <w:rPr>
        <w:noProof/>
      </w:rPr>
      <w:t>1</w:t>
    </w:r>
    <w:r>
      <w:fldChar w:fldCharType="end"/>
    </w:r>
  </w:p>
  <w:p w:rsidR="003B7E0B" w:rsidRDefault="00A1371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718" w:rsidRDefault="00A13718">
      <w:r>
        <w:rPr>
          <w:color w:val="000000"/>
        </w:rPr>
        <w:separator/>
      </w:r>
    </w:p>
  </w:footnote>
  <w:footnote w:type="continuationSeparator" w:id="0">
    <w:p w:rsidR="00A13718" w:rsidRDefault="00A137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694"/>
    <w:multiLevelType w:val="multilevel"/>
    <w:tmpl w:val="90D6E1FA"/>
    <w:styleLink w:val="WWNum28"/>
    <w:lvl w:ilvl="0">
      <w:start w:val="1"/>
      <w:numFmt w:val="japaneseCounting"/>
      <w:lvlText w:val="(%1)"/>
      <w:lvlJc w:val="left"/>
      <w:rPr>
        <w:rFonts w:cs="Times New Roman"/>
        <w:sz w:val="28"/>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02BE6A9D"/>
    <w:multiLevelType w:val="multilevel"/>
    <w:tmpl w:val="938AAEA0"/>
    <w:styleLink w:val="WWNum9"/>
    <w:lvl w:ilvl="0">
      <w:start w:val="1"/>
      <w:numFmt w:val="decimal"/>
      <w:lvlText w:val="%1、"/>
      <w:lvlJc w:val="left"/>
      <w:rPr>
        <w:rFonts w:eastAsia="標楷體" w:cs="新細明體"/>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04F01782"/>
    <w:multiLevelType w:val="multilevel"/>
    <w:tmpl w:val="F932744E"/>
    <w:styleLink w:val="WWNum20"/>
    <w:lvl w:ilvl="0">
      <w:start w:val="1"/>
      <w:numFmt w:val="decimal"/>
      <w:lvlText w:val="%1."/>
      <w:lvlJc w:val="left"/>
      <w:rPr>
        <w:rFonts w:ascii="Times New Roman" w:eastAsia="標楷體" w:hAnsi="Times New Roman" w:cs="Times New Roman"/>
        <w:color w:val="000000"/>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0B591716"/>
    <w:multiLevelType w:val="multilevel"/>
    <w:tmpl w:val="C35E9870"/>
    <w:styleLink w:val="WWNum5"/>
    <w:lvl w:ilvl="0">
      <w:start w:val="1"/>
      <w:numFmt w:val="decimal"/>
      <w:lvlText w:val="%1、"/>
      <w:lvlJc w:val="left"/>
      <w:rPr>
        <w:rFonts w:eastAsia="標楷體" w:cs="新細明體"/>
        <w:color w:val="000000"/>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100B389D"/>
    <w:multiLevelType w:val="multilevel"/>
    <w:tmpl w:val="3DC64C48"/>
    <w:styleLink w:val="WWNum7"/>
    <w:lvl w:ilvl="0">
      <w:start w:val="1"/>
      <w:numFmt w:val="decimal"/>
      <w:lvlText w:val="%1、"/>
      <w:lvlJc w:val="left"/>
      <w:rPr>
        <w:rFonts w:eastAsia="標楷體" w:cs="新細明體"/>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15:restartNumberingAfterBreak="0">
    <w:nsid w:val="13D87C5B"/>
    <w:multiLevelType w:val="multilevel"/>
    <w:tmpl w:val="E8C681B8"/>
    <w:styleLink w:val="WWNum27"/>
    <w:lvl w:ilvl="0">
      <w:start w:val="1"/>
      <w:numFmt w:val="decimal"/>
      <w:lvlText w:val="%1."/>
      <w:lvlJc w:val="left"/>
    </w:lvl>
    <w:lvl w:ilvl="1">
      <w:start w:val="1"/>
      <w:numFmt w:val="decimal"/>
      <w:lvlText w:val="%2."/>
      <w:lvlJc w:val="left"/>
      <w:rPr>
        <w:rFonts w:ascii="Times New Roman" w:hAnsi="Times New Roman" w:cs="Times New Roman"/>
        <w:sz w:val="28"/>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1E280B96"/>
    <w:multiLevelType w:val="multilevel"/>
    <w:tmpl w:val="33D0066C"/>
    <w:styleLink w:val="WWNum15"/>
    <w:lvl w:ilvl="0">
      <w:start w:val="1"/>
      <w:numFmt w:val="decimal"/>
      <w:lvlText w:val="%1."/>
      <w:lvlJc w:val="left"/>
      <w:rPr>
        <w:rFonts w:cs="Times New Roman"/>
        <w:color w:val="000000"/>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15:restartNumberingAfterBreak="0">
    <w:nsid w:val="1EF13C40"/>
    <w:multiLevelType w:val="multilevel"/>
    <w:tmpl w:val="4D8EA5A8"/>
    <w:styleLink w:val="WWNum11"/>
    <w:lvl w:ilvl="0">
      <w:start w:val="1"/>
      <w:numFmt w:val="decimal"/>
      <w:lvlText w:val="%1."/>
      <w:lvlJc w:val="left"/>
      <w:rPr>
        <w:rFonts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1F3A2189"/>
    <w:multiLevelType w:val="multilevel"/>
    <w:tmpl w:val="81D41DB2"/>
    <w:styleLink w:val="WWNum2"/>
    <w:lvl w:ilvl="0">
      <w:start w:val="1"/>
      <w:numFmt w:val="decimal"/>
      <w:lvlText w:val="%1、"/>
      <w:lvlJc w:val="left"/>
      <w:rPr>
        <w:rFonts w:eastAsia="標楷體" w:cs="新細明體"/>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300027F2"/>
    <w:multiLevelType w:val="multilevel"/>
    <w:tmpl w:val="5DBC82DE"/>
    <w:styleLink w:val="WWNum21"/>
    <w:lvl w:ilvl="0">
      <w:start w:val="1"/>
      <w:numFmt w:val="decimal"/>
      <w:lvlText w:val="(%1)"/>
      <w:lvlJc w:val="left"/>
      <w:rPr>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36E22FBE"/>
    <w:multiLevelType w:val="multilevel"/>
    <w:tmpl w:val="711250AE"/>
    <w:styleLink w:val="WWNum18"/>
    <w:lvl w:ilvl="0">
      <w:start w:val="1"/>
      <w:numFmt w:val="decimal"/>
      <w:lvlText w:val="(%1)"/>
      <w:lvlJc w:val="left"/>
      <w:rPr>
        <w:rFonts w:cs="Tahoma"/>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15:restartNumberingAfterBreak="0">
    <w:nsid w:val="3B527485"/>
    <w:multiLevelType w:val="multilevel"/>
    <w:tmpl w:val="B734F72E"/>
    <w:styleLink w:val="WWNum14"/>
    <w:lvl w:ilvl="0">
      <w:start w:val="1"/>
      <w:numFmt w:val="japaneseCounting"/>
      <w:lvlText w:val="(%1)"/>
      <w:lvlJc w:val="left"/>
      <w:rPr>
        <w:rFonts w:cs="Times New Roman"/>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15:restartNumberingAfterBreak="0">
    <w:nsid w:val="3F7B12CE"/>
    <w:multiLevelType w:val="multilevel"/>
    <w:tmpl w:val="1764C3FA"/>
    <w:styleLink w:val="WWNum19"/>
    <w:lvl w:ilvl="0">
      <w:start w:val="1"/>
      <w:numFmt w:val="decimal"/>
      <w:lvlText w:val="(%1)"/>
      <w:lvlJc w:val="left"/>
      <w:rPr>
        <w:rFonts w:cs="Times New Roman"/>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4AD520D0"/>
    <w:multiLevelType w:val="multilevel"/>
    <w:tmpl w:val="0E44909E"/>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C661FB7"/>
    <w:multiLevelType w:val="multilevel"/>
    <w:tmpl w:val="D5BE7BCE"/>
    <w:styleLink w:val="WWNum26"/>
    <w:lvl w:ilvl="0">
      <w:start w:val="1"/>
      <w:numFmt w:val="decimal"/>
      <w:lvlText w:val="%1."/>
      <w:lvlJc w:val="left"/>
    </w:lvl>
    <w:lvl w:ilvl="1">
      <w:start w:val="1"/>
      <w:numFmt w:val="decimal"/>
      <w:lvlText w:val="%2."/>
      <w:lvlJc w:val="left"/>
      <w:rPr>
        <w:rFonts w:cs="Times New Roman"/>
        <w:sz w:val="28"/>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15:restartNumberingAfterBreak="0">
    <w:nsid w:val="4F675574"/>
    <w:multiLevelType w:val="multilevel"/>
    <w:tmpl w:val="379CD352"/>
    <w:styleLink w:val="WWNum3"/>
    <w:lvl w:ilvl="0">
      <w:start w:val="1"/>
      <w:numFmt w:val="decimal"/>
      <w:lvlText w:val="%1."/>
      <w:lvlJc w:val="left"/>
      <w:rPr>
        <w:rFonts w:cs="Times New Roman"/>
        <w:color w:val="000000"/>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15:restartNumberingAfterBreak="0">
    <w:nsid w:val="52107164"/>
    <w:multiLevelType w:val="multilevel"/>
    <w:tmpl w:val="B52E4014"/>
    <w:styleLink w:val="WWNum12"/>
    <w:lvl w:ilvl="0">
      <w:start w:val="1"/>
      <w:numFmt w:val="japaneseCounting"/>
      <w:lvlText w:val="(%1)"/>
      <w:lvlJc w:val="left"/>
      <w:rPr>
        <w:rFonts w:cs="Times New Roman"/>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15:restartNumberingAfterBreak="0">
    <w:nsid w:val="53854DB1"/>
    <w:multiLevelType w:val="multilevel"/>
    <w:tmpl w:val="AB8244D0"/>
    <w:styleLink w:val="WWNum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15:restartNumberingAfterBreak="0">
    <w:nsid w:val="56360F37"/>
    <w:multiLevelType w:val="multilevel"/>
    <w:tmpl w:val="A5260B8C"/>
    <w:styleLink w:val="WWNum1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15:restartNumberingAfterBreak="0">
    <w:nsid w:val="56721F6C"/>
    <w:multiLevelType w:val="multilevel"/>
    <w:tmpl w:val="3A542B44"/>
    <w:styleLink w:val="WWNum6"/>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15:restartNumberingAfterBreak="0">
    <w:nsid w:val="571D2EE8"/>
    <w:multiLevelType w:val="multilevel"/>
    <w:tmpl w:val="89EEDBFC"/>
    <w:styleLink w:val="WWNum4"/>
    <w:lvl w:ilvl="0">
      <w:start w:val="1"/>
      <w:numFmt w:val="decimal"/>
      <w:lvlText w:val="%1、"/>
      <w:lvlJc w:val="left"/>
      <w:rPr>
        <w:rFonts w:eastAsia="標楷體" w:cs="新細明體"/>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15:restartNumberingAfterBreak="0">
    <w:nsid w:val="573E2CD7"/>
    <w:multiLevelType w:val="multilevel"/>
    <w:tmpl w:val="D76CE7D4"/>
    <w:styleLink w:val="WWNum1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15:restartNumberingAfterBreak="0">
    <w:nsid w:val="593641A7"/>
    <w:multiLevelType w:val="multilevel"/>
    <w:tmpl w:val="BFCA4D64"/>
    <w:styleLink w:val="WWNum17"/>
    <w:lvl w:ilvl="0">
      <w:start w:val="1"/>
      <w:numFmt w:val="decimal"/>
      <w:lvlText w:val="(%1)"/>
      <w:lvlJc w:val="left"/>
      <w:rPr>
        <w:rFonts w:cs="Times New Roman"/>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15:restartNumberingAfterBreak="0">
    <w:nsid w:val="5D4B5B72"/>
    <w:multiLevelType w:val="multilevel"/>
    <w:tmpl w:val="DC901D3A"/>
    <w:styleLink w:val="WWNum29"/>
    <w:lvl w:ilvl="0">
      <w:start w:val="4"/>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15:restartNumberingAfterBreak="0">
    <w:nsid w:val="6776765C"/>
    <w:multiLevelType w:val="multilevel"/>
    <w:tmpl w:val="14F6735A"/>
    <w:styleLink w:val="WWNum16"/>
    <w:lvl w:ilvl="0">
      <w:start w:val="1"/>
      <w:numFmt w:val="decimal"/>
      <w:lvlText w:val="%1."/>
      <w:lvlJc w:val="left"/>
      <w:rPr>
        <w:rFonts w:cs="Times New Roman"/>
        <w:color w:val="000000"/>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15:restartNumberingAfterBreak="0">
    <w:nsid w:val="67C12014"/>
    <w:multiLevelType w:val="multilevel"/>
    <w:tmpl w:val="B91E6E32"/>
    <w:styleLink w:val="WWNum8"/>
    <w:lvl w:ilvl="0">
      <w:start w:val="1"/>
      <w:numFmt w:val="decimal"/>
      <w:lvlText w:val="%1、"/>
      <w:lvlJc w:val="left"/>
      <w:rPr>
        <w:rFonts w:eastAsia="標楷體" w:cs="新細明體"/>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15:restartNumberingAfterBreak="0">
    <w:nsid w:val="72E471F7"/>
    <w:multiLevelType w:val="multilevel"/>
    <w:tmpl w:val="BF8E1AF8"/>
    <w:styleLink w:val="WWNum24"/>
    <w:lvl w:ilvl="0">
      <w:start w:val="1"/>
      <w:numFmt w:val="decimal"/>
      <w:lvlText w:val="%1."/>
      <w:lvlJc w:val="left"/>
      <w:rPr>
        <w:rFonts w:cs="Times New Roman"/>
        <w:color w:val="000000"/>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15:restartNumberingAfterBreak="0">
    <w:nsid w:val="73F96601"/>
    <w:multiLevelType w:val="multilevel"/>
    <w:tmpl w:val="F31AEC4E"/>
    <w:styleLink w:val="WWNum22"/>
    <w:lvl w:ilvl="0">
      <w:start w:val="1"/>
      <w:numFmt w:val="decimal"/>
      <w:lvlText w:val="%1."/>
      <w:lvlJc w:val="left"/>
      <w:rPr>
        <w:rFonts w:cs="Times New Roman"/>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15:restartNumberingAfterBreak="0">
    <w:nsid w:val="7F4835D7"/>
    <w:multiLevelType w:val="multilevel"/>
    <w:tmpl w:val="626AD756"/>
    <w:styleLink w:val="WWNum25"/>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15:restartNumberingAfterBreak="0">
    <w:nsid w:val="7F56620B"/>
    <w:multiLevelType w:val="multilevel"/>
    <w:tmpl w:val="0A6C36BA"/>
    <w:styleLink w:val="WWNum2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3"/>
  </w:num>
  <w:num w:numId="2">
    <w:abstractNumId w:val="17"/>
  </w:num>
  <w:num w:numId="3">
    <w:abstractNumId w:val="8"/>
  </w:num>
  <w:num w:numId="4">
    <w:abstractNumId w:val="15"/>
  </w:num>
  <w:num w:numId="5">
    <w:abstractNumId w:val="20"/>
  </w:num>
  <w:num w:numId="6">
    <w:abstractNumId w:val="3"/>
  </w:num>
  <w:num w:numId="7">
    <w:abstractNumId w:val="19"/>
  </w:num>
  <w:num w:numId="8">
    <w:abstractNumId w:val="4"/>
  </w:num>
  <w:num w:numId="9">
    <w:abstractNumId w:val="25"/>
  </w:num>
  <w:num w:numId="10">
    <w:abstractNumId w:val="1"/>
  </w:num>
  <w:num w:numId="11">
    <w:abstractNumId w:val="18"/>
  </w:num>
  <w:num w:numId="12">
    <w:abstractNumId w:val="7"/>
  </w:num>
  <w:num w:numId="13">
    <w:abstractNumId w:val="16"/>
  </w:num>
  <w:num w:numId="14">
    <w:abstractNumId w:val="21"/>
  </w:num>
  <w:num w:numId="15">
    <w:abstractNumId w:val="11"/>
  </w:num>
  <w:num w:numId="16">
    <w:abstractNumId w:val="6"/>
  </w:num>
  <w:num w:numId="17">
    <w:abstractNumId w:val="24"/>
  </w:num>
  <w:num w:numId="18">
    <w:abstractNumId w:val="22"/>
  </w:num>
  <w:num w:numId="19">
    <w:abstractNumId w:val="10"/>
  </w:num>
  <w:num w:numId="20">
    <w:abstractNumId w:val="12"/>
  </w:num>
  <w:num w:numId="21">
    <w:abstractNumId w:val="2"/>
  </w:num>
  <w:num w:numId="22">
    <w:abstractNumId w:val="9"/>
  </w:num>
  <w:num w:numId="23">
    <w:abstractNumId w:val="27"/>
  </w:num>
  <w:num w:numId="24">
    <w:abstractNumId w:val="29"/>
  </w:num>
  <w:num w:numId="25">
    <w:abstractNumId w:val="26"/>
  </w:num>
  <w:num w:numId="26">
    <w:abstractNumId w:val="28"/>
  </w:num>
  <w:num w:numId="27">
    <w:abstractNumId w:val="14"/>
  </w:num>
  <w:num w:numId="28">
    <w:abstractNumId w:val="5"/>
  </w:num>
  <w:num w:numId="29">
    <w:abstractNumId w:val="0"/>
  </w:num>
  <w:num w:numId="30">
    <w:abstractNumId w:val="23"/>
  </w:num>
  <w:num w:numId="31">
    <w:abstractNumId w:val="17"/>
    <w:lvlOverride w:ilvl="0">
      <w:startOverride w:val="1"/>
    </w:lvlOverride>
  </w:num>
  <w:num w:numId="32">
    <w:abstractNumId w:val="16"/>
    <w:lvlOverride w:ilvl="0">
      <w:startOverride w:val="1"/>
    </w:lvlOverride>
  </w:num>
  <w:num w:numId="33">
    <w:abstractNumId w:val="17"/>
    <w:lvlOverride w:ilvl="0">
      <w:startOverride w:val="1"/>
    </w:lvlOverride>
  </w:num>
  <w:num w:numId="34">
    <w:abstractNumId w:val="11"/>
    <w:lvlOverride w:ilvl="0">
      <w:startOverride w:val="1"/>
    </w:lvlOverride>
  </w:num>
  <w:num w:numId="35">
    <w:abstractNumId w:val="15"/>
    <w:lvlOverride w:ilvl="0">
      <w:startOverride w:val="1"/>
    </w:lvlOverride>
  </w:num>
  <w:num w:numId="36">
    <w:abstractNumId w:val="11"/>
    <w:lvlOverride w:ilvl="0">
      <w:startOverride w:val="1"/>
    </w:lvlOverride>
  </w:num>
  <w:num w:numId="37">
    <w:abstractNumId w:val="6"/>
    <w:lvlOverride w:ilvl="0">
      <w:startOverride w:val="1"/>
    </w:lvlOverride>
  </w:num>
  <w:num w:numId="38">
    <w:abstractNumId w:val="11"/>
    <w:lvlOverride w:ilvl="0">
      <w:startOverride w:val="1"/>
    </w:lvlOverride>
  </w:num>
  <w:num w:numId="39">
    <w:abstractNumId w:val="24"/>
    <w:lvlOverride w:ilvl="0">
      <w:startOverride w:val="1"/>
    </w:lvlOverride>
  </w:num>
  <w:num w:numId="40">
    <w:abstractNumId w:val="22"/>
    <w:lvlOverride w:ilvl="0">
      <w:startOverride w:val="1"/>
    </w:lvlOverride>
  </w:num>
  <w:num w:numId="41">
    <w:abstractNumId w:val="24"/>
    <w:lvlOverride w:ilvl="0">
      <w:startOverride w:val="1"/>
    </w:lvlOverride>
  </w:num>
  <w:num w:numId="42">
    <w:abstractNumId w:val="12"/>
    <w:lvlOverride w:ilvl="0">
      <w:startOverride w:val="1"/>
    </w:lvlOverride>
  </w:num>
  <w:num w:numId="43">
    <w:abstractNumId w:val="23"/>
    <w:lvlOverride w:ilvl="0">
      <w:startOverride w:val="4"/>
    </w:lvlOverride>
  </w:num>
  <w:num w:numId="44">
    <w:abstractNumId w:val="11"/>
    <w:lvlOverride w:ilvl="0">
      <w:startOverride w:val="1"/>
    </w:lvlOverride>
  </w:num>
  <w:num w:numId="45">
    <w:abstractNumId w:val="2"/>
    <w:lvlOverride w:ilvl="0">
      <w:startOverride w:val="1"/>
    </w:lvlOverride>
  </w:num>
  <w:num w:numId="46">
    <w:abstractNumId w:val="11"/>
    <w:lvlOverride w:ilvl="0">
      <w:startOverride w:val="1"/>
    </w:lvlOverride>
  </w:num>
  <w:num w:numId="47">
    <w:abstractNumId w:val="26"/>
    <w:lvlOverride w:ilvl="0">
      <w:startOverride w:val="1"/>
    </w:lvlOverride>
  </w:num>
  <w:num w:numId="48">
    <w:abstractNumId w:val="17"/>
    <w:lvlOverride w:ilvl="0">
      <w:startOverride w:val="1"/>
    </w:lvlOverride>
  </w:num>
  <w:num w:numId="49">
    <w:abstractNumId w:val="0"/>
    <w:lvlOverride w:ilvl="0">
      <w:startOverride w:val="1"/>
    </w:lvlOverride>
  </w:num>
  <w:num w:numId="50">
    <w:abstractNumId w:val="0"/>
    <w:lvlOverride w:ilvl="0">
      <w:startOverride w:val="1"/>
    </w:lvlOverride>
  </w:num>
  <w:num w:numId="51">
    <w:abstractNumId w:val="0"/>
    <w:lvlOverride w:ilvl="0">
      <w:startOverride w:val="1"/>
    </w:lvlOverride>
  </w:num>
  <w:num w:numId="52">
    <w:abstractNumId w:val="17"/>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C6FE0"/>
    <w:rsid w:val="005439D1"/>
    <w:rsid w:val="005D2E29"/>
    <w:rsid w:val="00A13718"/>
    <w:rsid w:val="00BC6FE0"/>
    <w:rsid w:val="00D1583E"/>
    <w:rsid w:val="00FF05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2877C3-E715-456C-801A-2EF15BE6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sz w:val="18"/>
      <w:szCs w:val="18"/>
    </w:r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libri Light" w:eastAsia="新細明體" w:hAnsi="Calibri Light" w:cs="Tahoma"/>
      <w:sz w:val="18"/>
      <w:szCs w:val="18"/>
    </w:rPr>
  </w:style>
  <w:style w:type="character" w:customStyle="1" w:styleId="ac">
    <w:name w:val="清單段落 字元"/>
  </w:style>
  <w:style w:type="character" w:customStyle="1" w:styleId="ListLabel1">
    <w:name w:val="ListLabel 1"/>
    <w:rPr>
      <w:rFonts w:eastAsia="標楷體" w:cs="新細明體"/>
      <w:color w:val="000000"/>
    </w:rPr>
  </w:style>
  <w:style w:type="character" w:customStyle="1" w:styleId="ListLabel2">
    <w:name w:val="ListLabel 2"/>
    <w:rPr>
      <w:rFonts w:cs="Times New Roman"/>
      <w:color w:val="000000"/>
      <w:sz w:val="28"/>
    </w:rPr>
  </w:style>
  <w:style w:type="character" w:customStyle="1" w:styleId="ListLabel3">
    <w:name w:val="ListLabel 3"/>
    <w:rPr>
      <w:rFonts w:eastAsia="標楷體" w:cs="新細明體"/>
      <w:color w:val="000000"/>
    </w:rPr>
  </w:style>
  <w:style w:type="character" w:customStyle="1" w:styleId="ListLabel4">
    <w:name w:val="ListLabel 4"/>
    <w:rPr>
      <w:rFonts w:eastAsia="標楷體" w:cs="新細明體"/>
      <w:color w:val="000000"/>
      <w:lang w:val="en-US"/>
    </w:rPr>
  </w:style>
  <w:style w:type="character" w:customStyle="1" w:styleId="ListLabel5">
    <w:name w:val="ListLabel 5"/>
    <w:rPr>
      <w:rFonts w:eastAsia="標楷體" w:cs="新細明體"/>
      <w:color w:val="000000"/>
    </w:rPr>
  </w:style>
  <w:style w:type="character" w:customStyle="1" w:styleId="ListLabel6">
    <w:name w:val="ListLabel 6"/>
    <w:rPr>
      <w:rFonts w:eastAsia="標楷體" w:cs="新細明體"/>
      <w:color w:val="000000"/>
    </w:rPr>
  </w:style>
  <w:style w:type="character" w:customStyle="1" w:styleId="ListLabel7">
    <w:name w:val="ListLabel 7"/>
    <w:rPr>
      <w:rFonts w:eastAsia="標楷體" w:cs="新細明體"/>
      <w:color w:val="000000"/>
    </w:rPr>
  </w:style>
  <w:style w:type="character" w:customStyle="1" w:styleId="ListLabel8">
    <w:name w:val="ListLabel 8"/>
    <w:rPr>
      <w:rFonts w:cs="Times New Roman"/>
    </w:rPr>
  </w:style>
  <w:style w:type="character" w:customStyle="1" w:styleId="ListLabel9">
    <w:name w:val="ListLabel 9"/>
    <w:rPr>
      <w:rFonts w:cs="Times New Roman"/>
      <w:sz w:val="28"/>
    </w:rPr>
  </w:style>
  <w:style w:type="character" w:customStyle="1" w:styleId="ListLabel10">
    <w:name w:val="ListLabel 10"/>
    <w:rPr>
      <w:rFonts w:cs="Times New Roman"/>
      <w:sz w:val="28"/>
    </w:rPr>
  </w:style>
  <w:style w:type="character" w:customStyle="1" w:styleId="ListLabel11">
    <w:name w:val="ListLabel 11"/>
    <w:rPr>
      <w:rFonts w:cs="Times New Roman"/>
      <w:color w:val="000000"/>
      <w:sz w:val="28"/>
    </w:rPr>
  </w:style>
  <w:style w:type="character" w:customStyle="1" w:styleId="ListLabel12">
    <w:name w:val="ListLabel 12"/>
    <w:rPr>
      <w:rFonts w:cs="Times New Roman"/>
      <w:color w:val="000000"/>
      <w:sz w:val="28"/>
    </w:rPr>
  </w:style>
  <w:style w:type="character" w:customStyle="1" w:styleId="ListLabel13">
    <w:name w:val="ListLabel 13"/>
    <w:rPr>
      <w:rFonts w:cs="Times New Roman"/>
      <w:sz w:val="28"/>
    </w:rPr>
  </w:style>
  <w:style w:type="character" w:customStyle="1" w:styleId="ListLabel14">
    <w:name w:val="ListLabel 14"/>
    <w:rPr>
      <w:rFonts w:cs="Tahoma"/>
    </w:rPr>
  </w:style>
  <w:style w:type="character" w:customStyle="1" w:styleId="ListLabel15">
    <w:name w:val="ListLabel 15"/>
    <w:rPr>
      <w:rFonts w:cs="Times New Roman"/>
      <w:sz w:val="28"/>
    </w:rPr>
  </w:style>
  <w:style w:type="character" w:customStyle="1" w:styleId="ListLabel16">
    <w:name w:val="ListLabel 16"/>
    <w:rPr>
      <w:rFonts w:ascii="Times New Roman" w:eastAsia="標楷體" w:hAnsi="Times New Roman" w:cs="Times New Roman"/>
      <w:color w:val="000000"/>
      <w:sz w:val="28"/>
    </w:rPr>
  </w:style>
  <w:style w:type="character" w:customStyle="1" w:styleId="ListLabel17">
    <w:name w:val="ListLabel 17"/>
    <w:rPr>
      <w:color w:val="000000"/>
    </w:rPr>
  </w:style>
  <w:style w:type="character" w:customStyle="1" w:styleId="ListLabel18">
    <w:name w:val="ListLabel 18"/>
    <w:rPr>
      <w:rFonts w:cs="Times New Roman"/>
      <w:color w:val="000000"/>
    </w:rPr>
  </w:style>
  <w:style w:type="character" w:customStyle="1" w:styleId="ListLabel19">
    <w:name w:val="ListLabel 19"/>
    <w:rPr>
      <w:rFonts w:cs="Times New Roman"/>
      <w:color w:val="000000"/>
      <w:sz w:val="28"/>
    </w:rPr>
  </w:style>
  <w:style w:type="character" w:customStyle="1" w:styleId="ListLabel20">
    <w:name w:val="ListLabel 20"/>
    <w:rPr>
      <w:rFonts w:cs="Times New Roman"/>
      <w:sz w:val="28"/>
    </w:rPr>
  </w:style>
  <w:style w:type="character" w:customStyle="1" w:styleId="ListLabel21">
    <w:name w:val="ListLabel 21"/>
    <w:rPr>
      <w:rFonts w:ascii="Times New Roman" w:hAnsi="Times New Roman" w:cs="Times New Roman"/>
      <w:sz w:val="28"/>
    </w:rPr>
  </w:style>
  <w:style w:type="character" w:customStyle="1" w:styleId="ListLabel22">
    <w:name w:val="ListLabel 22"/>
    <w:rPr>
      <w:rFonts w:cs="Times New Roman"/>
      <w:sz w:val="28"/>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徐慧潔</dc:creator>
  <cp:lastModifiedBy>amy</cp:lastModifiedBy>
  <cp:revision>4</cp:revision>
  <cp:lastPrinted>2019-11-11T03:13:00Z</cp:lastPrinted>
  <dcterms:created xsi:type="dcterms:W3CDTF">2020-03-25T07:18:00Z</dcterms:created>
  <dcterms:modified xsi:type="dcterms:W3CDTF">2021-07-13T02:24:00Z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